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CB1ABE" w:rsidRDefault="003E564A" w:rsidP="003E564A">
      <w:pPr>
        <w:pStyle w:val="a2"/>
        <w:rPr>
          <w:rFonts w:ascii="IRBadr" w:hAnsi="IRBadr"/>
          <w:b/>
          <w:bCs/>
          <w:sz w:val="56"/>
          <w:szCs w:val="56"/>
          <w:rtl/>
        </w:rPr>
      </w:pPr>
      <w:r>
        <w:rPr>
          <w:rFonts w:hint="cs"/>
          <w:rtl/>
        </w:rPr>
        <w:t>آداب قرائت قرآن و تدبر در آن</w:t>
      </w:r>
    </w:p>
    <w:p w:rsidR="00CB1ABE" w:rsidRDefault="00CB1ABE" w:rsidP="00CB1ABE">
      <w:pPr>
        <w:pStyle w:val="NoSpacing"/>
        <w:rPr>
          <w:rtl/>
        </w:rPr>
      </w:pPr>
    </w:p>
    <w:p w:rsidR="00CB1ABE" w:rsidRPr="00851885" w:rsidRDefault="00CB1ABE" w:rsidP="00CB1ABE">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CB1ABE" w:rsidRPr="008E6EF7" w:rsidTr="00C17BD2">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C17BD2">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CB1ABE" w:rsidRPr="00C515CD" w:rsidRDefault="00CB1ABE" w:rsidP="00B17A3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w:t>
            </w:r>
            <w:r w:rsidRPr="00562148">
              <w:rPr>
                <w:rFonts w:asciiTheme="minorBidi" w:hAnsiTheme="minorBidi"/>
                <w:color w:val="06007A"/>
                <w:sz w:val="28"/>
                <w:szCs w:val="28"/>
              </w:rPr>
              <w:t>-</w:t>
            </w:r>
            <w:r w:rsidR="00B17A32">
              <w:rPr>
                <w:rFonts w:asciiTheme="minorBidi" w:hAnsiTheme="minorBidi"/>
                <w:color w:val="06007A"/>
                <w:sz w:val="28"/>
                <w:szCs w:val="28"/>
              </w:rPr>
              <w:t>394</w:t>
            </w:r>
          </w:p>
        </w:tc>
      </w:tr>
      <w:tr w:rsidR="00CB1ABE" w:rsidRPr="008E6EF7" w:rsidTr="00C17BD2">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CB1ABE" w:rsidRPr="00A42700" w:rsidRDefault="00CB1ABE" w:rsidP="00C17BD2">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Pr="00A42700">
              <w:rPr>
                <w:rFonts w:ascii="IRMitra" w:hAnsi="IRMitra" w:cs="IRMitra"/>
                <w:color w:val="06007A"/>
                <w:sz w:val="28"/>
                <w:szCs w:val="28"/>
                <w:rtl/>
              </w:rPr>
              <w:t>/</w:t>
            </w:r>
            <w:r w:rsidR="00B17A32">
              <w:rPr>
                <w:rFonts w:ascii="IRMitra" w:hAnsi="IRMitra" w:cs="IRMitra" w:hint="cs"/>
                <w:color w:val="06007A"/>
                <w:sz w:val="28"/>
                <w:szCs w:val="28"/>
                <w:rtl/>
              </w:rPr>
              <w:t>تقوای عمومی/ورود به آستان بندگی/مستحبات/تلاوت قرآن</w:t>
            </w:r>
          </w:p>
        </w:tc>
      </w:tr>
      <w:tr w:rsidR="00CB1ABE" w:rsidRPr="008E6EF7" w:rsidTr="00C17BD2">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CB1ABE" w:rsidRPr="00A42700" w:rsidRDefault="00B17A32" w:rsidP="00C17BD2">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تلاوت قرآن، آداب، تدبر، تفکر، تامل، ادعیه هنگام تلاوت قرآن، سید بن طاووس، آیت الله سعادت پرور (ره)</w:t>
            </w:r>
          </w:p>
        </w:tc>
      </w:tr>
      <w:tr w:rsidR="00CB1ABE" w:rsidRPr="008E6EF7" w:rsidTr="00C17BD2">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Pr="00C641F7" w:rsidRDefault="00CB1ABE" w:rsidP="00CB1ABE">
      <w:pPr>
        <w:pStyle w:val="a1"/>
        <w:rPr>
          <w:color w:val="002060"/>
          <w:sz w:val="34"/>
          <w:szCs w:val="34"/>
          <w:rtl/>
        </w:rPr>
      </w:pPr>
    </w:p>
    <w:p w:rsidR="00CB1ABE" w:rsidRDefault="00CB1ABE" w:rsidP="00CB1ABE">
      <w:pPr>
        <w:pStyle w:val="a1"/>
        <w:rPr>
          <w:color w:val="002060"/>
          <w:rtl/>
        </w:rPr>
      </w:pPr>
    </w:p>
    <w:p w:rsidR="00CB1ABE" w:rsidRDefault="00CB1ABE" w:rsidP="00CB1ABE">
      <w:pPr>
        <w:pStyle w:val="a1"/>
        <w:rPr>
          <w:color w:val="002060"/>
          <w:rtl/>
        </w:rPr>
      </w:pPr>
    </w:p>
    <w:p w:rsidR="00CB1ABE" w:rsidRDefault="00CB1ABE" w:rsidP="00CB1ABE">
      <w:pPr>
        <w:pStyle w:val="a1"/>
        <w:rPr>
          <w:rtl/>
        </w:rPr>
      </w:pPr>
    </w:p>
    <w:p w:rsidR="003E564A" w:rsidRDefault="003E564A" w:rsidP="00F158EB">
      <w:pPr>
        <w:pStyle w:val="a1"/>
        <w:jc w:val="both"/>
        <w:rPr>
          <w:rtl/>
        </w:rPr>
      </w:pPr>
      <w:bookmarkStart w:id="0" w:name="_GoBack"/>
      <w:bookmarkEnd w:id="0"/>
      <w:r>
        <w:rPr>
          <w:rFonts w:hint="cs"/>
          <w:rtl/>
        </w:rPr>
        <w:lastRenderedPageBreak/>
        <w:t xml:space="preserve">در </w:t>
      </w:r>
      <w:r w:rsidR="00B17A32">
        <w:rPr>
          <w:rFonts w:hint="cs"/>
          <w:rtl/>
        </w:rPr>
        <w:t xml:space="preserve">این متن شرح گهربار </w:t>
      </w:r>
      <w:r>
        <w:rPr>
          <w:rFonts w:hint="cs"/>
          <w:rtl/>
        </w:rPr>
        <w:t xml:space="preserve">آیت الله سعادت پرور(ره) </w:t>
      </w:r>
      <w:r w:rsidR="00B17A32">
        <w:rPr>
          <w:rFonts w:hint="cs"/>
          <w:rtl/>
        </w:rPr>
        <w:t>را در مورد برخی از فرازهای دعای هنگام</w:t>
      </w:r>
      <w:r w:rsidR="00F158EB">
        <w:rPr>
          <w:rFonts w:hint="cs"/>
          <w:rtl/>
        </w:rPr>
        <w:t xml:space="preserve"> قرائت قرآن را مشاهده می کنید که در آن به</w:t>
      </w:r>
      <w:r w:rsidR="00B17A32">
        <w:rPr>
          <w:rFonts w:hint="cs"/>
          <w:rtl/>
        </w:rPr>
        <w:t xml:space="preserve"> برخی از</w:t>
      </w:r>
      <w:r>
        <w:rPr>
          <w:rFonts w:hint="cs"/>
          <w:rtl/>
        </w:rPr>
        <w:t xml:space="preserve"> آداب قرائت قرآن و اهمیت تدبر در آن</w:t>
      </w:r>
      <w:r w:rsidR="00F158EB">
        <w:rPr>
          <w:rFonts w:hint="cs"/>
          <w:rtl/>
        </w:rPr>
        <w:t xml:space="preserve"> اشاره می شود:</w:t>
      </w:r>
      <w:r>
        <w:rPr>
          <w:rFonts w:hint="cs"/>
          <w:rtl/>
        </w:rPr>
        <w:t xml:space="preserve"> </w:t>
      </w:r>
    </w:p>
    <w:p w:rsidR="00B17A32" w:rsidRDefault="00B17A32" w:rsidP="00F158EB">
      <w:pPr>
        <w:pStyle w:val="a1"/>
        <w:jc w:val="both"/>
        <w:rPr>
          <w:rtl/>
        </w:rPr>
      </w:pPr>
    </w:p>
    <w:p w:rsidR="003E564A" w:rsidRPr="003E564A" w:rsidRDefault="003E564A" w:rsidP="00F158EB">
      <w:pPr>
        <w:pStyle w:val="a1"/>
        <w:jc w:val="both"/>
        <w:rPr>
          <w:rtl/>
        </w:rPr>
      </w:pPr>
      <w:r w:rsidRPr="003E564A">
        <w:rPr>
          <w:rFonts w:hint="cs"/>
          <w:rtl/>
        </w:rPr>
        <w:t>سزاوار است خواننده‏ى محترم پيش از تلاوت‏ قرآن‏، بيانات سيّد ابن طاووس- رحمه‏اللَّه-</w:t>
      </w:r>
      <w:r>
        <w:t xml:space="preserve"> </w:t>
      </w:r>
      <w:r w:rsidRPr="003E564A">
        <w:rPr>
          <w:rFonts w:hint="cs"/>
          <w:rtl/>
        </w:rPr>
        <w:t>را در اين باره مورد توجّه قرار دهد</w:t>
      </w:r>
      <w:r w:rsidRPr="003E564A">
        <w:rPr>
          <w:vertAlign w:val="superscript"/>
          <w:rtl/>
        </w:rPr>
        <w:footnoteReference w:id="1"/>
      </w:r>
      <w:r w:rsidRPr="003E564A">
        <w:rPr>
          <w:rFonts w:hint="cs"/>
          <w:rtl/>
        </w:rPr>
        <w:t>، تا با دقّت بيشتر به قرائت قرآن اقدام كند. افزون بر اين، ملاحظه‏ى روايات مربوط به قرائت قرآن كه در جوامع روايى آمده است، در تشويق خواننده بر قرائت قرآن مفيد است.</w:t>
      </w:r>
    </w:p>
    <w:p w:rsidR="003E564A" w:rsidRDefault="003E564A" w:rsidP="00F158EB">
      <w:pPr>
        <w:pStyle w:val="a1"/>
        <w:jc w:val="both"/>
      </w:pPr>
      <w:r w:rsidRPr="003E564A">
        <w:rPr>
          <w:rFonts w:hint="cs"/>
          <w:rtl/>
        </w:rPr>
        <w:t>اكنون برخى از دعاهايى را كه سيّد- رحمه‏اللَّه- براى خواندن قرآن ذكر فرموده، ياد آور شده و به طور مختصر توضيح مى‏دهيم.</w:t>
      </w:r>
    </w:p>
    <w:p w:rsidR="003E564A" w:rsidRPr="003E564A" w:rsidRDefault="003E564A" w:rsidP="00F158EB">
      <w:pPr>
        <w:pStyle w:val="a1"/>
        <w:jc w:val="both"/>
        <w:rPr>
          <w:rtl/>
        </w:rPr>
      </w:pPr>
    </w:p>
    <w:p w:rsidR="003E564A" w:rsidRPr="00B17A32" w:rsidRDefault="003E564A" w:rsidP="00F158EB">
      <w:pPr>
        <w:pStyle w:val="a1"/>
        <w:jc w:val="both"/>
        <w:rPr>
          <w:color w:val="1F497D" w:themeColor="text2"/>
          <w:rtl/>
        </w:rPr>
      </w:pPr>
      <w:r w:rsidRPr="00B17A32">
        <w:rPr>
          <w:rFonts w:hint="cs"/>
          <w:color w:val="1F497D" w:themeColor="text2"/>
          <w:rtl/>
        </w:rPr>
        <w:t>«أَللَّهُمَّ! فَاجْعَلْ نْظَرى فِيهِ عِبادَةً.»</w:t>
      </w:r>
      <w:r w:rsidRPr="00B17A32">
        <w:rPr>
          <w:color w:val="1F497D" w:themeColor="text2"/>
          <w:vertAlign w:val="superscript"/>
          <w:rtl/>
        </w:rPr>
        <w:footnoteReference w:id="2"/>
      </w:r>
    </w:p>
    <w:p w:rsidR="003E564A" w:rsidRPr="003E564A" w:rsidRDefault="003E564A" w:rsidP="00F158EB">
      <w:pPr>
        <w:pStyle w:val="a1"/>
        <w:jc w:val="both"/>
        <w:rPr>
          <w:rtl/>
        </w:rPr>
      </w:pPr>
      <w:r w:rsidRPr="003E564A">
        <w:rPr>
          <w:rFonts w:hint="cs"/>
          <w:rtl/>
        </w:rPr>
        <w:t>خدايا، پس نگريستن مرا در آن، عبادت قرار ده.</w:t>
      </w:r>
    </w:p>
    <w:p w:rsidR="003E564A" w:rsidRPr="003E564A" w:rsidRDefault="003E564A" w:rsidP="00F158EB">
      <w:pPr>
        <w:pStyle w:val="a1"/>
        <w:jc w:val="both"/>
        <w:rPr>
          <w:rtl/>
        </w:rPr>
      </w:pPr>
      <w:r w:rsidRPr="003E564A">
        <w:rPr>
          <w:rFonts w:hint="cs"/>
          <w:rtl/>
        </w:rPr>
        <w:t>نظر و نگريستن در قرآن به حساب اين كه كلام الهى است، به خودى خود عبادت است و اين، گام اوّل براى هر خواننده مى‏باشد تا بدين وسيله به راهنمايى‏هاى آن توجّه كند.</w:t>
      </w:r>
    </w:p>
    <w:p w:rsidR="003E564A" w:rsidRPr="003E564A" w:rsidRDefault="003E564A" w:rsidP="00F158EB">
      <w:pPr>
        <w:pStyle w:val="a1"/>
        <w:jc w:val="both"/>
        <w:rPr>
          <w:rtl/>
        </w:rPr>
      </w:pPr>
      <w:r w:rsidRPr="003E564A">
        <w:rPr>
          <w:rFonts w:hint="cs"/>
          <w:rtl/>
        </w:rPr>
        <w:t xml:space="preserve">دليل بر اين بيان، جمله‏ى آخر دعا است كه مى‏فرمايد: </w:t>
      </w:r>
      <w:r w:rsidRPr="00B17A32">
        <w:rPr>
          <w:rFonts w:hint="cs"/>
          <w:color w:val="1F497D" w:themeColor="text2"/>
          <w:rtl/>
        </w:rPr>
        <w:t>«وَ لاتَجْعَلْ نَظَرى فِيهِ غَفْلَةً ...»</w:t>
      </w:r>
      <w:r w:rsidRPr="003E564A">
        <w:rPr>
          <w:rFonts w:hint="cs"/>
          <w:rtl/>
        </w:rPr>
        <w:t>. از اين رو، در دو جمله‏ى بعد مى‏فرمايد:</w:t>
      </w:r>
    </w:p>
    <w:p w:rsidR="003E564A" w:rsidRPr="003E564A" w:rsidRDefault="003E564A" w:rsidP="00F158EB">
      <w:pPr>
        <w:pStyle w:val="a1"/>
        <w:jc w:val="both"/>
        <w:rPr>
          <w:rtl/>
        </w:rPr>
      </w:pPr>
    </w:p>
    <w:p w:rsidR="003E564A" w:rsidRPr="00B17A32" w:rsidRDefault="003E564A" w:rsidP="00F158EB">
      <w:pPr>
        <w:pStyle w:val="a1"/>
        <w:jc w:val="both"/>
        <w:rPr>
          <w:color w:val="1F497D" w:themeColor="text2"/>
          <w:rtl/>
        </w:rPr>
      </w:pPr>
      <w:r w:rsidRPr="00B17A32">
        <w:rPr>
          <w:rFonts w:hint="cs"/>
          <w:color w:val="1F497D" w:themeColor="text2"/>
          <w:rtl/>
        </w:rPr>
        <w:t>«وَ قِرائَتِى تَفَكُّراً، وَ فِكْرِى اعْتِباراً.»</w:t>
      </w:r>
      <w:r w:rsidRPr="00B17A32">
        <w:rPr>
          <w:color w:val="1F497D" w:themeColor="text2"/>
          <w:vertAlign w:val="superscript"/>
          <w:rtl/>
        </w:rPr>
        <w:footnoteReference w:id="3"/>
      </w:r>
    </w:p>
    <w:p w:rsidR="003E564A" w:rsidRPr="003E564A" w:rsidRDefault="003E564A" w:rsidP="00F158EB">
      <w:pPr>
        <w:pStyle w:val="a1"/>
        <w:jc w:val="both"/>
        <w:rPr>
          <w:rtl/>
        </w:rPr>
      </w:pPr>
      <w:r w:rsidRPr="003E564A">
        <w:rPr>
          <w:rFonts w:hint="cs"/>
          <w:rtl/>
        </w:rPr>
        <w:t>و قرائت و خواندنم را [موجب‏] انديشيدن، و انديشه‏ام را [وسيله‏ى‏] عبرت گرفتن [قرار ده‏].</w:t>
      </w:r>
    </w:p>
    <w:p w:rsidR="00B17A32" w:rsidRDefault="00B17A32" w:rsidP="00F158EB">
      <w:pPr>
        <w:pStyle w:val="a1"/>
        <w:jc w:val="both"/>
        <w:rPr>
          <w:rtl/>
        </w:rPr>
      </w:pPr>
    </w:p>
    <w:p w:rsidR="003E564A" w:rsidRPr="003E564A" w:rsidRDefault="003E564A" w:rsidP="00F158EB">
      <w:pPr>
        <w:pStyle w:val="a1"/>
        <w:jc w:val="both"/>
        <w:rPr>
          <w:rtl/>
        </w:rPr>
      </w:pPr>
      <w:r w:rsidRPr="003E564A">
        <w:rPr>
          <w:rFonts w:hint="cs"/>
          <w:rtl/>
        </w:rPr>
        <w:t>تفكّر در آيات قرآن، بشر را از عالم طبيعت تجافى داده و خدا و دار آخرت را تمام مقصد او قرار مى‏دهد. به همين جهت در ادامه مى‏فرمايد:</w:t>
      </w:r>
    </w:p>
    <w:p w:rsidR="003E564A" w:rsidRPr="003E564A" w:rsidRDefault="003E564A" w:rsidP="00F158EB">
      <w:pPr>
        <w:pStyle w:val="a1"/>
        <w:jc w:val="both"/>
        <w:rPr>
          <w:rtl/>
        </w:rPr>
      </w:pPr>
    </w:p>
    <w:p w:rsidR="003E564A" w:rsidRPr="00B17A32" w:rsidRDefault="003E564A" w:rsidP="00F158EB">
      <w:pPr>
        <w:pStyle w:val="a1"/>
        <w:jc w:val="both"/>
        <w:rPr>
          <w:color w:val="1F497D" w:themeColor="text2"/>
          <w:rtl/>
        </w:rPr>
      </w:pPr>
      <w:r w:rsidRPr="00B17A32">
        <w:rPr>
          <w:rFonts w:hint="cs"/>
          <w:color w:val="1F497D" w:themeColor="text2"/>
          <w:rtl/>
        </w:rPr>
        <w:t>«وَاجْعَلْنِى مِمَّنِ اتَّعَظَ بِبَيانِ مَواعِظِكَ فِيهِ وَ اجْتَنَبَ مَعاصِيَكَ.»</w:t>
      </w:r>
      <w:r w:rsidRPr="00B17A32">
        <w:rPr>
          <w:color w:val="1F497D" w:themeColor="text2"/>
          <w:vertAlign w:val="superscript"/>
          <w:rtl/>
        </w:rPr>
        <w:footnoteReference w:id="4"/>
      </w:r>
    </w:p>
    <w:p w:rsidR="003E564A" w:rsidRPr="003E564A" w:rsidRDefault="003E564A" w:rsidP="00F158EB">
      <w:pPr>
        <w:pStyle w:val="a1"/>
        <w:jc w:val="both"/>
        <w:rPr>
          <w:rtl/>
        </w:rPr>
      </w:pPr>
      <w:r w:rsidRPr="003E564A">
        <w:rPr>
          <w:rFonts w:hint="cs"/>
          <w:rtl/>
        </w:rPr>
        <w:t>و مرا از آنانى بگردان كه به واسطه‏ى بيان اندرزهايت در آن، پند گرفته، و از معصيت‏ها دورى نموده‏اند.</w:t>
      </w:r>
    </w:p>
    <w:p w:rsidR="003E564A" w:rsidRPr="003E564A" w:rsidRDefault="003E564A" w:rsidP="00F158EB">
      <w:pPr>
        <w:pStyle w:val="a1"/>
        <w:jc w:val="both"/>
        <w:rPr>
          <w:rtl/>
        </w:rPr>
      </w:pPr>
      <w:r w:rsidRPr="003E564A">
        <w:rPr>
          <w:rFonts w:hint="cs"/>
          <w:rtl/>
        </w:rPr>
        <w:t>بشر همواره احتياج به موعظه دارد، تا از غفلت و نافرمانى دست بكشد؛ زيرا از بنيان عالم خاكى جز فساد و جهل برخاسته نمى‏شود، چنان كه مى‏فرمايد:</w:t>
      </w:r>
    </w:p>
    <w:p w:rsidR="003E564A" w:rsidRPr="00B17A32" w:rsidRDefault="003E564A" w:rsidP="00F158EB">
      <w:pPr>
        <w:pStyle w:val="a1"/>
        <w:jc w:val="both"/>
        <w:rPr>
          <w:color w:val="1F497D" w:themeColor="text2"/>
          <w:rtl/>
        </w:rPr>
      </w:pPr>
      <w:r w:rsidRPr="00B17A32">
        <w:rPr>
          <w:rFonts w:hint="cs"/>
          <w:color w:val="1F497D" w:themeColor="text2"/>
          <w:rtl/>
        </w:rPr>
        <w:t>أَ تَجْعَلُ فِيها مَنْ يُفْسِدُ فِيها وَ يَسْفِكُ الدِّماءَ</w:t>
      </w:r>
      <w:r w:rsidRPr="00B17A32">
        <w:rPr>
          <w:color w:val="1F497D" w:themeColor="text2"/>
          <w:vertAlign w:val="superscript"/>
          <w:rtl/>
        </w:rPr>
        <w:footnoteReference w:id="5"/>
      </w:r>
    </w:p>
    <w:p w:rsidR="003E564A" w:rsidRPr="003E564A" w:rsidRDefault="003E564A" w:rsidP="00F158EB">
      <w:pPr>
        <w:pStyle w:val="a1"/>
        <w:jc w:val="both"/>
        <w:rPr>
          <w:rtl/>
        </w:rPr>
      </w:pPr>
      <w:r w:rsidRPr="003E564A">
        <w:rPr>
          <w:rFonts w:hint="cs"/>
          <w:rtl/>
        </w:rPr>
        <w:t>آيا كسى را در آن قرار مى‏دهى [و مى‏آفرينى‏] كه تباهى نموده و خون‏ها بريزد؟!</w:t>
      </w:r>
    </w:p>
    <w:p w:rsidR="003E564A" w:rsidRPr="003E564A" w:rsidRDefault="003E564A" w:rsidP="00F158EB">
      <w:pPr>
        <w:pStyle w:val="a1"/>
        <w:jc w:val="both"/>
        <w:rPr>
          <w:rtl/>
        </w:rPr>
      </w:pPr>
      <w:r w:rsidRPr="003E564A">
        <w:rPr>
          <w:rFonts w:hint="cs"/>
          <w:rtl/>
        </w:rPr>
        <w:t>و هم چنين در حديث آمده است:</w:t>
      </w:r>
    </w:p>
    <w:p w:rsidR="003E564A" w:rsidRPr="00B17A32" w:rsidRDefault="003E564A" w:rsidP="00F158EB">
      <w:pPr>
        <w:pStyle w:val="a1"/>
        <w:jc w:val="both"/>
        <w:rPr>
          <w:color w:val="1F497D" w:themeColor="text2"/>
          <w:rtl/>
        </w:rPr>
      </w:pPr>
      <w:r w:rsidRPr="00B17A32">
        <w:rPr>
          <w:rFonts w:hint="cs"/>
          <w:color w:val="1F497D" w:themeColor="text2"/>
          <w:rtl/>
        </w:rPr>
        <w:t>«بَناهُمْ بِنْيَةً عَلَى الْجَهْلِ.»</w:t>
      </w:r>
      <w:r w:rsidRPr="00B17A32">
        <w:rPr>
          <w:color w:val="1F497D" w:themeColor="text2"/>
          <w:vertAlign w:val="superscript"/>
          <w:rtl/>
        </w:rPr>
        <w:footnoteReference w:id="6"/>
      </w:r>
    </w:p>
    <w:p w:rsidR="003E564A" w:rsidRPr="003E564A" w:rsidRDefault="003E564A" w:rsidP="00F158EB">
      <w:pPr>
        <w:pStyle w:val="a1"/>
        <w:jc w:val="both"/>
        <w:rPr>
          <w:rtl/>
        </w:rPr>
      </w:pPr>
      <w:r w:rsidRPr="003E564A">
        <w:rPr>
          <w:rFonts w:hint="cs"/>
          <w:rtl/>
        </w:rPr>
        <w:t>ساختار مخلوقات را بر جهل و نادانى بنيان نهاد.</w:t>
      </w:r>
    </w:p>
    <w:p w:rsidR="003E564A" w:rsidRPr="003E564A" w:rsidRDefault="003E564A" w:rsidP="00F158EB">
      <w:pPr>
        <w:pStyle w:val="a1"/>
        <w:jc w:val="both"/>
        <w:rPr>
          <w:rtl/>
        </w:rPr>
      </w:pPr>
    </w:p>
    <w:p w:rsidR="003E564A" w:rsidRPr="00B17A32" w:rsidRDefault="003E564A" w:rsidP="00F158EB">
      <w:pPr>
        <w:pStyle w:val="a1"/>
        <w:jc w:val="both"/>
        <w:rPr>
          <w:color w:val="1F497D" w:themeColor="text2"/>
          <w:rtl/>
        </w:rPr>
      </w:pPr>
      <w:r w:rsidRPr="00B17A32">
        <w:rPr>
          <w:rFonts w:hint="cs"/>
          <w:color w:val="1F497D" w:themeColor="text2"/>
          <w:rtl/>
        </w:rPr>
        <w:t>«وَ لا تَطْبَعْ عِنْدَ قِرائَتِى كِتابَكَ عَلى‏ قَلْبِى وَ لا عَلى‏ سَمْعى، وَ لَا تَجْعَلْ عَلى‏ بَصَرى غِشاوَةً.»</w:t>
      </w:r>
      <w:r w:rsidRPr="00B17A32">
        <w:rPr>
          <w:color w:val="1F497D" w:themeColor="text2"/>
          <w:vertAlign w:val="superscript"/>
          <w:rtl/>
        </w:rPr>
        <w:footnoteReference w:id="7"/>
      </w:r>
    </w:p>
    <w:p w:rsidR="003E564A" w:rsidRPr="003E564A" w:rsidRDefault="003E564A" w:rsidP="00F158EB">
      <w:pPr>
        <w:pStyle w:val="a1"/>
        <w:jc w:val="both"/>
        <w:rPr>
          <w:rtl/>
        </w:rPr>
      </w:pPr>
      <w:r w:rsidRPr="003E564A">
        <w:rPr>
          <w:rFonts w:hint="cs"/>
          <w:rtl/>
        </w:rPr>
        <w:t>و هنگام خواندن كتابت [قرآن‏] بر دل و گوشم مهر و بر ديده‏ام پرده مَنه.</w:t>
      </w:r>
    </w:p>
    <w:p w:rsidR="003E564A" w:rsidRPr="003E564A" w:rsidRDefault="003E564A" w:rsidP="00F158EB">
      <w:pPr>
        <w:pStyle w:val="a1"/>
        <w:jc w:val="both"/>
        <w:rPr>
          <w:rtl/>
        </w:rPr>
      </w:pPr>
      <w:r w:rsidRPr="003E564A">
        <w:rPr>
          <w:rFonts w:hint="cs"/>
          <w:rtl/>
        </w:rPr>
        <w:lastRenderedPageBreak/>
        <w:t>گناه و پيروى از عالم طبع است كه سبب مى‏شود به شنوايى و ديدگان شخص مهر زده شده و ميان انسان و فهم قرآن حجاب كشيده شود و نتواند از قرآن عبرت بگيرد. از اين رو، انسان بايد مراقب باشد كارى نكند كه نتواند از قرآن ثمره و بهره‏ى كامل بگيرد.</w:t>
      </w:r>
    </w:p>
    <w:p w:rsidR="003E564A" w:rsidRPr="003E564A" w:rsidRDefault="003E564A" w:rsidP="00F158EB">
      <w:pPr>
        <w:pStyle w:val="a1"/>
        <w:jc w:val="both"/>
        <w:rPr>
          <w:rtl/>
        </w:rPr>
      </w:pPr>
    </w:p>
    <w:p w:rsidR="003E564A" w:rsidRPr="00B17A32" w:rsidRDefault="003E564A" w:rsidP="00F158EB">
      <w:pPr>
        <w:pStyle w:val="a1"/>
        <w:jc w:val="both"/>
        <w:rPr>
          <w:color w:val="1F497D" w:themeColor="text2"/>
          <w:rtl/>
        </w:rPr>
      </w:pPr>
      <w:r w:rsidRPr="00B17A32">
        <w:rPr>
          <w:rFonts w:hint="cs"/>
          <w:color w:val="1F497D" w:themeColor="text2"/>
          <w:rtl/>
        </w:rPr>
        <w:t>«وَ لا تَجْعَلْ قِرائَتِى قِرائَةً لَا تَدَبُّرَ فِيهَا، بَلِ اجْعَلْنِى أَتَدبَّرُ آياتِهِ وَ أَحْكامَهُ، آخِذاً بِشَرائِعِ دِينِكَ.»</w:t>
      </w:r>
      <w:r w:rsidRPr="00B17A32">
        <w:rPr>
          <w:color w:val="1F497D" w:themeColor="text2"/>
          <w:vertAlign w:val="superscript"/>
          <w:rtl/>
        </w:rPr>
        <w:footnoteReference w:id="8"/>
      </w:r>
    </w:p>
    <w:p w:rsidR="003E564A" w:rsidRPr="003E564A" w:rsidRDefault="003E564A" w:rsidP="00F158EB">
      <w:pPr>
        <w:pStyle w:val="a1"/>
        <w:jc w:val="both"/>
        <w:rPr>
          <w:rtl/>
        </w:rPr>
      </w:pPr>
      <w:r w:rsidRPr="003E564A">
        <w:rPr>
          <w:rFonts w:hint="cs"/>
          <w:rtl/>
        </w:rPr>
        <w:t>و خواندنم را قرائتى كه در آن تدبّر و انديشيدن نباشد قرار مده، بلكه مرا چنان كن كه در آيات و احكام آن بينديشم و مقرّرات دينت را بگيرم [و بدان عمل كنم‏]</w:t>
      </w:r>
    </w:p>
    <w:p w:rsidR="003E564A" w:rsidRPr="003E564A" w:rsidRDefault="003E564A" w:rsidP="00F158EB">
      <w:pPr>
        <w:pStyle w:val="a1"/>
        <w:jc w:val="both"/>
        <w:rPr>
          <w:rtl/>
        </w:rPr>
      </w:pPr>
      <w:r w:rsidRPr="003E564A">
        <w:rPr>
          <w:rFonts w:hint="cs"/>
          <w:rtl/>
        </w:rPr>
        <w:t>قرآن كلامى نيست كه با يك بار خواندن، حقايق آن آشكار و احكام آن روشن گردد، بلكه تدبّر در آن است كه انسان را به حقايق و احكام و معارف آن راهنما مى‏گردد.</w:t>
      </w:r>
    </w:p>
    <w:p w:rsidR="003E564A" w:rsidRPr="003E564A" w:rsidRDefault="003E564A" w:rsidP="00F158EB">
      <w:pPr>
        <w:pStyle w:val="a1"/>
        <w:jc w:val="both"/>
        <w:rPr>
          <w:rtl/>
        </w:rPr>
      </w:pPr>
    </w:p>
    <w:p w:rsidR="003E564A" w:rsidRPr="00B17A32" w:rsidRDefault="003E564A" w:rsidP="00F158EB">
      <w:pPr>
        <w:pStyle w:val="a1"/>
        <w:jc w:val="both"/>
        <w:rPr>
          <w:color w:val="1F497D" w:themeColor="text2"/>
          <w:rtl/>
        </w:rPr>
      </w:pPr>
      <w:r w:rsidRPr="00B17A32">
        <w:rPr>
          <w:rFonts w:hint="cs"/>
          <w:color w:val="1F497D" w:themeColor="text2"/>
          <w:rtl/>
        </w:rPr>
        <w:t>«وَ لا تَجْعَلْ نَظَرِى فِيهِ غَفْلَةً، وَ لا قِرائَتِى هَذْرَمَةً، إِنَّكَ أَنْتَ الرَّؤُوفُ الرَّحِيمُ.»</w:t>
      </w:r>
      <w:r w:rsidRPr="00B17A32">
        <w:rPr>
          <w:color w:val="1F497D" w:themeColor="text2"/>
          <w:vertAlign w:val="superscript"/>
          <w:rtl/>
        </w:rPr>
        <w:footnoteReference w:id="9"/>
      </w:r>
    </w:p>
    <w:p w:rsidR="003E564A" w:rsidRPr="003E564A" w:rsidRDefault="003E564A" w:rsidP="00F158EB">
      <w:pPr>
        <w:pStyle w:val="a1"/>
        <w:jc w:val="both"/>
        <w:rPr>
          <w:rtl/>
        </w:rPr>
      </w:pPr>
      <w:r w:rsidRPr="003E564A">
        <w:rPr>
          <w:rFonts w:hint="cs"/>
          <w:rtl/>
        </w:rPr>
        <w:t>نگريستنم در قرآن را غفلت و فراموشى و خواندنم را تند و با شتاب قرار مده، به راستى كه تو مهرورز و مهربانى.</w:t>
      </w:r>
    </w:p>
    <w:p w:rsidR="003E564A" w:rsidRPr="003E564A" w:rsidRDefault="003E564A" w:rsidP="00F158EB">
      <w:pPr>
        <w:pStyle w:val="a1"/>
        <w:jc w:val="both"/>
        <w:rPr>
          <w:rtl/>
        </w:rPr>
      </w:pPr>
      <w:r w:rsidRPr="003E564A">
        <w:rPr>
          <w:rFonts w:hint="cs"/>
          <w:rtl/>
        </w:rPr>
        <w:t xml:space="preserve">با اين كه در آغاز اين دعا آمده: </w:t>
      </w:r>
      <w:r w:rsidRPr="00B17A32">
        <w:rPr>
          <w:rFonts w:hint="cs"/>
          <w:color w:val="1F497D" w:themeColor="text2"/>
          <w:rtl/>
        </w:rPr>
        <w:t>«أَللَّهُمَّ! فَاجْعَلْ نَظَرى فِيه عِبادَةً»</w:t>
      </w:r>
      <w:r w:rsidRPr="00B17A32">
        <w:rPr>
          <w:rFonts w:hint="cs"/>
          <w:color w:val="auto"/>
          <w:rtl/>
        </w:rPr>
        <w:t>؛</w:t>
      </w:r>
      <w:r w:rsidRPr="00B17A32">
        <w:rPr>
          <w:rFonts w:hint="cs"/>
          <w:color w:val="1F497D" w:themeColor="text2"/>
          <w:rtl/>
        </w:rPr>
        <w:t xml:space="preserve"> </w:t>
      </w:r>
      <w:r w:rsidRPr="003E564A">
        <w:rPr>
          <w:rFonts w:hint="cs"/>
          <w:rtl/>
        </w:rPr>
        <w:t xml:space="preserve">يعنى نظرم را در آن عبادت قرار ده، در اين جا مى‏فرمايد: </w:t>
      </w:r>
      <w:r w:rsidRPr="00B17A32">
        <w:rPr>
          <w:rFonts w:hint="cs"/>
          <w:color w:val="1F497D" w:themeColor="text2"/>
          <w:rtl/>
        </w:rPr>
        <w:t>«لاتَجْعَلْ نَظَرى فِيه غَفْلَةً ...»</w:t>
      </w:r>
      <w:r w:rsidRPr="00B17A32">
        <w:rPr>
          <w:rFonts w:hint="cs"/>
          <w:color w:val="auto"/>
          <w:rtl/>
        </w:rPr>
        <w:t>؛</w:t>
      </w:r>
      <w:r w:rsidRPr="00B17A32">
        <w:rPr>
          <w:rFonts w:hint="cs"/>
          <w:color w:val="1F497D" w:themeColor="text2"/>
          <w:rtl/>
        </w:rPr>
        <w:t xml:space="preserve"> </w:t>
      </w:r>
      <w:r w:rsidRPr="003E564A">
        <w:rPr>
          <w:rFonts w:hint="cs"/>
          <w:rtl/>
        </w:rPr>
        <w:t>يعنى توجّه من به آن را توجّه غفلت‏آميز و قرائتم را با شتاب قرار مده. از اين دو بيان خوب روشن مى‏شود كه از انسان تنها خواندن و قرائت قرآن را نخواسته‏اند.</w:t>
      </w:r>
    </w:p>
    <w:p w:rsidR="003E564A" w:rsidRPr="003E564A" w:rsidRDefault="003E564A" w:rsidP="00F158EB">
      <w:pPr>
        <w:pStyle w:val="a1"/>
        <w:jc w:val="both"/>
        <w:rPr>
          <w:rtl/>
        </w:rPr>
      </w:pPr>
      <w:r w:rsidRPr="003E564A">
        <w:rPr>
          <w:rFonts w:hint="cs"/>
          <w:rtl/>
        </w:rPr>
        <w:t xml:space="preserve">جمله‏ى: </w:t>
      </w:r>
      <w:r w:rsidRPr="00B17A32">
        <w:rPr>
          <w:rFonts w:hint="cs"/>
          <w:color w:val="1F497D" w:themeColor="text2"/>
          <w:rtl/>
        </w:rPr>
        <w:t xml:space="preserve">«إِنّك أَنْتَ الرَّؤوُفُ الرَّحِيم» </w:t>
      </w:r>
      <w:r w:rsidRPr="003E564A">
        <w:rPr>
          <w:rFonts w:hint="cs"/>
          <w:rtl/>
        </w:rPr>
        <w:t>در پايان، اشاره به اين نكته است كه بايد به رحمت او چشم دوخت تا خواسته‏هاى پيشين درباره‏ى قرائت قرآن و كيفيّت آن به مرحله‏ى استجابت قرين گردد و خواننده از قرآن بهره‏ى كامل معنوى و اخروى ببرد.</w:t>
      </w:r>
    </w:p>
    <w:p w:rsidR="003E564A" w:rsidRPr="003E564A" w:rsidRDefault="003E564A" w:rsidP="00F158EB">
      <w:pPr>
        <w:pStyle w:val="a1"/>
        <w:jc w:val="both"/>
        <w:rPr>
          <w:rtl/>
        </w:rPr>
      </w:pPr>
      <w:r w:rsidRPr="003E564A">
        <w:rPr>
          <w:rFonts w:hint="cs"/>
          <w:rtl/>
        </w:rPr>
        <w:lastRenderedPageBreak/>
        <w:t>سيّد ابن طاووس- رحمه‏اللَّه- بعد از دعاى گذشته، دعايى را براى قرائت بخشى از قرآن ذكر فرموده كه نكاتى پر ثمر در آن وجود دارد. از اين رو، شايسته است خوانندگان محترم متن آن را در كتاب «اقبال الاعمال» ملاحظه نمايند.</w:t>
      </w:r>
      <w:r w:rsidRPr="003E564A">
        <w:rPr>
          <w:vertAlign w:val="superscript"/>
          <w:rtl/>
        </w:rPr>
        <w:footnoteReference w:id="10"/>
      </w:r>
      <w:r w:rsidRPr="003E564A">
        <w:rPr>
          <w:rFonts w:hint="cs"/>
          <w:rtl/>
        </w:rPr>
        <w:t xml:space="preserve"> </w:t>
      </w:r>
    </w:p>
    <w:p w:rsidR="00B17A32" w:rsidRDefault="00B17A32" w:rsidP="00F158EB">
      <w:pPr>
        <w:pStyle w:val="a1"/>
        <w:jc w:val="both"/>
        <w:rPr>
          <w:rtl/>
        </w:rPr>
      </w:pPr>
    </w:p>
    <w:p w:rsidR="003E564A" w:rsidRDefault="003E564A" w:rsidP="00F158EB">
      <w:pPr>
        <w:pStyle w:val="a0"/>
        <w:bidi w:val="0"/>
        <w:jc w:val="both"/>
        <w:rPr>
          <w:rtl/>
        </w:rPr>
      </w:pPr>
      <w:r w:rsidRPr="003E564A">
        <w:rPr>
          <w:rFonts w:hint="cs"/>
          <w:rtl/>
        </w:rPr>
        <w:t>نور هدايت، ج‏1، ص: 192</w:t>
      </w:r>
    </w:p>
    <w:p w:rsidR="00B17A32" w:rsidRPr="00447BDD" w:rsidRDefault="00B17A32" w:rsidP="00F158EB">
      <w:pPr>
        <w:pStyle w:val="a0"/>
        <w:bidi w:val="0"/>
        <w:jc w:val="both"/>
      </w:pPr>
      <w:r w:rsidRPr="00447BDD">
        <w:rPr>
          <w:rFonts w:hint="cs"/>
          <w:rtl/>
        </w:rPr>
        <w:t>نرم افزار مجموعه آثار ایت الله سعادت پرور(ره) مرکز تحقیقات کامپیوتری علوم اسلامی نور</w:t>
      </w:r>
      <w:r>
        <w:rPr>
          <w:rFonts w:hint="cs"/>
          <w:rtl/>
        </w:rPr>
        <w:t>.</w:t>
      </w:r>
    </w:p>
    <w:p w:rsidR="00B17A32" w:rsidRPr="00B17A32" w:rsidRDefault="00B17A32" w:rsidP="00B17A32">
      <w:pPr>
        <w:rPr>
          <w:rtl/>
        </w:rPr>
      </w:pPr>
    </w:p>
    <w:p w:rsidR="002767FF" w:rsidRPr="00B23B44" w:rsidRDefault="002767FF" w:rsidP="00B23B44">
      <w:pPr>
        <w:pStyle w:val="a1"/>
      </w:pPr>
    </w:p>
    <w:sectPr w:rsidR="002767FF" w:rsidRPr="00B23B44" w:rsidSect="0049774C">
      <w:headerReference w:type="default" r:id="rId15"/>
      <w:footerReference w:type="default" r:id="rId16"/>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ADA" w:rsidRDefault="005E6ADA" w:rsidP="00982C20">
      <w:pPr>
        <w:spacing w:after="0" w:line="240" w:lineRule="auto"/>
      </w:pPr>
      <w:r>
        <w:separator/>
      </w:r>
    </w:p>
  </w:endnote>
  <w:endnote w:type="continuationSeparator" w:id="0">
    <w:p w:rsidR="005E6ADA" w:rsidRDefault="005E6ADA"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7E0" w:rsidRDefault="005F37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Default="00CB1ABE">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EBFB4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7E0" w:rsidRDefault="005F37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ADA" w:rsidRDefault="005E6ADA" w:rsidP="00982C20">
      <w:pPr>
        <w:spacing w:after="0" w:line="240" w:lineRule="auto"/>
      </w:pPr>
      <w:r>
        <w:separator/>
      </w:r>
    </w:p>
  </w:footnote>
  <w:footnote w:type="continuationSeparator" w:id="0">
    <w:p w:rsidR="005E6ADA" w:rsidRDefault="005E6ADA" w:rsidP="00982C20">
      <w:pPr>
        <w:spacing w:after="0" w:line="240" w:lineRule="auto"/>
      </w:pPr>
      <w:r>
        <w:continuationSeparator/>
      </w:r>
    </w:p>
  </w:footnote>
  <w:footnote w:id="1">
    <w:p w:rsidR="003E564A" w:rsidRDefault="003E564A" w:rsidP="00B17A32">
      <w:pPr>
        <w:pStyle w:val="a0"/>
        <w:rPr>
          <w:rtl/>
          <w:lang w:bidi="ar-SA"/>
        </w:rPr>
      </w:pPr>
      <w:r>
        <w:rPr>
          <w:rStyle w:val="FootnoteReference"/>
        </w:rPr>
        <w:footnoteRef/>
      </w:r>
      <w:r>
        <w:rPr>
          <w:rtl/>
        </w:rPr>
        <w:t xml:space="preserve"> اقبال الاعمال، ص 109- 111.</w:t>
      </w:r>
    </w:p>
  </w:footnote>
  <w:footnote w:id="2">
    <w:p w:rsidR="003E564A" w:rsidRDefault="003E564A" w:rsidP="00B17A32">
      <w:pPr>
        <w:pStyle w:val="a0"/>
        <w:rPr>
          <w:rtl/>
        </w:rPr>
      </w:pPr>
      <w:r>
        <w:rPr>
          <w:rStyle w:val="FootnoteReference"/>
        </w:rPr>
        <w:footnoteRef/>
      </w:r>
      <w:r>
        <w:rPr>
          <w:rtl/>
        </w:rPr>
        <w:t xml:space="preserve">  اقبال الاعمال، ص 110.</w:t>
      </w:r>
    </w:p>
  </w:footnote>
  <w:footnote w:id="3">
    <w:p w:rsidR="003E564A" w:rsidRDefault="003E564A" w:rsidP="00B17A32">
      <w:pPr>
        <w:pStyle w:val="a0"/>
        <w:rPr>
          <w:rtl/>
        </w:rPr>
      </w:pPr>
      <w:r>
        <w:rPr>
          <w:rStyle w:val="FootnoteReference"/>
        </w:rPr>
        <w:footnoteRef/>
      </w:r>
      <w:r>
        <w:rPr>
          <w:rtl/>
        </w:rPr>
        <w:t xml:space="preserve"> همان.</w:t>
      </w:r>
    </w:p>
  </w:footnote>
  <w:footnote w:id="4">
    <w:p w:rsidR="003E564A" w:rsidRDefault="003E564A" w:rsidP="00B17A32">
      <w:pPr>
        <w:pStyle w:val="a0"/>
        <w:rPr>
          <w:rtl/>
        </w:rPr>
      </w:pPr>
      <w:r>
        <w:rPr>
          <w:rStyle w:val="FootnoteReference"/>
        </w:rPr>
        <w:footnoteRef/>
      </w:r>
      <w:r>
        <w:rPr>
          <w:rtl/>
        </w:rPr>
        <w:t xml:space="preserve">  اقبال الاعمال، ص 110.</w:t>
      </w:r>
    </w:p>
  </w:footnote>
  <w:footnote w:id="5">
    <w:p w:rsidR="003E564A" w:rsidRDefault="003E564A" w:rsidP="00B17A32">
      <w:pPr>
        <w:pStyle w:val="a0"/>
        <w:rPr>
          <w:rtl/>
        </w:rPr>
      </w:pPr>
      <w:r>
        <w:rPr>
          <w:rStyle w:val="FootnoteReference"/>
        </w:rPr>
        <w:footnoteRef/>
      </w:r>
      <w:r>
        <w:rPr>
          <w:rtl/>
        </w:rPr>
        <w:t xml:space="preserve">  سوره‏ى بقره، آيه‏ى 31.</w:t>
      </w:r>
    </w:p>
  </w:footnote>
  <w:footnote w:id="6">
    <w:p w:rsidR="003E564A" w:rsidRDefault="003E564A" w:rsidP="00B17A32">
      <w:pPr>
        <w:pStyle w:val="a0"/>
        <w:rPr>
          <w:rtl/>
        </w:rPr>
      </w:pPr>
      <w:r>
        <w:rPr>
          <w:rStyle w:val="FootnoteReference"/>
        </w:rPr>
        <w:footnoteRef/>
      </w:r>
      <w:r>
        <w:rPr>
          <w:rtl/>
        </w:rPr>
        <w:t xml:space="preserve">  بحارالانوار، ج 3، ص 15، حديث 2.</w:t>
      </w:r>
    </w:p>
  </w:footnote>
  <w:footnote w:id="7">
    <w:p w:rsidR="003E564A" w:rsidRDefault="003E564A" w:rsidP="00B17A32">
      <w:pPr>
        <w:pStyle w:val="a0"/>
        <w:rPr>
          <w:rtl/>
        </w:rPr>
      </w:pPr>
      <w:r>
        <w:rPr>
          <w:rStyle w:val="FootnoteReference"/>
        </w:rPr>
        <w:footnoteRef/>
      </w:r>
      <w:r>
        <w:rPr>
          <w:rtl/>
        </w:rPr>
        <w:t xml:space="preserve"> ( 4). اقبال الاعمال، ص 110.</w:t>
      </w:r>
    </w:p>
  </w:footnote>
  <w:footnote w:id="8">
    <w:p w:rsidR="003E564A" w:rsidRDefault="003E564A" w:rsidP="00B17A32">
      <w:pPr>
        <w:pStyle w:val="a0"/>
        <w:rPr>
          <w:rtl/>
        </w:rPr>
      </w:pPr>
      <w:r>
        <w:rPr>
          <w:rStyle w:val="FootnoteReference"/>
        </w:rPr>
        <w:footnoteRef/>
      </w:r>
      <w:r>
        <w:rPr>
          <w:rtl/>
        </w:rPr>
        <w:t xml:space="preserve"> ( 1). اقبال الاعمال، ص 110.</w:t>
      </w:r>
    </w:p>
  </w:footnote>
  <w:footnote w:id="9">
    <w:p w:rsidR="003E564A" w:rsidRDefault="003E564A" w:rsidP="00B17A32">
      <w:pPr>
        <w:pStyle w:val="a0"/>
        <w:rPr>
          <w:rtl/>
        </w:rPr>
      </w:pPr>
      <w:r>
        <w:rPr>
          <w:rStyle w:val="FootnoteReference"/>
        </w:rPr>
        <w:footnoteRef/>
      </w:r>
      <w:r>
        <w:rPr>
          <w:rtl/>
        </w:rPr>
        <w:t xml:space="preserve"> ( 2). همان.</w:t>
      </w:r>
    </w:p>
  </w:footnote>
  <w:footnote w:id="10">
    <w:p w:rsidR="003E564A" w:rsidRDefault="003E564A" w:rsidP="00B17A32">
      <w:pPr>
        <w:pStyle w:val="a0"/>
        <w:rPr>
          <w:rtl/>
        </w:rPr>
      </w:pPr>
      <w:r>
        <w:rPr>
          <w:rStyle w:val="FootnoteReference"/>
        </w:rPr>
        <w:footnoteRef/>
      </w:r>
      <w:r>
        <w:rPr>
          <w:rtl/>
        </w:rPr>
        <w:t xml:space="preserve"> اقبال الاعمال، ص 111.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7E0" w:rsidRDefault="005F37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080567">
    <w:pPr>
      <w:pStyle w:val="Header"/>
      <w:rPr>
        <w:rFonts w:cs="Times New Roman"/>
      </w:rPr>
    </w:pPr>
    <w:r>
      <w:rPr>
        <w:rFonts w:cs="Times New Roman"/>
        <w:noProof/>
      </w:rPr>
      <mc:AlternateContent>
        <mc:Choice Requires="wpg">
          <w:drawing>
            <wp:anchor distT="0" distB="0" distL="114300" distR="114300" simplePos="0" relativeHeight="251670528" behindDoc="0" locked="0" layoutInCell="1" allowOverlap="1" wp14:anchorId="530B2396" wp14:editId="6D610B54">
              <wp:simplePos x="0" y="0"/>
              <wp:positionH relativeFrom="column">
                <wp:posOffset>219710</wp:posOffset>
              </wp:positionH>
              <wp:positionV relativeFrom="paragraph">
                <wp:posOffset>148834</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80567" w:rsidRPr="0078203C" w:rsidRDefault="00080567" w:rsidP="0008056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080567" w:rsidRPr="00820FB6" w:rsidRDefault="00080567" w:rsidP="00080567">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080567" w:rsidRPr="0078203C" w:rsidRDefault="00080567" w:rsidP="0008056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080567" w:rsidRPr="00B23B44" w:rsidRDefault="00080567" w:rsidP="00080567">
                            <w:pPr>
                              <w:spacing w:after="0" w:line="240" w:lineRule="auto"/>
                              <w:jc w:val="lowKashida"/>
                              <w:rPr>
                                <w:rFonts w:ascii="IRANSans" w:hAnsi="IRANSans" w:cs="IRANSans"/>
                                <w:b/>
                                <w:bCs/>
                                <w:color w:val="595959" w:themeColor="text1" w:themeTint="A6"/>
                                <w:sz w:val="14"/>
                                <w:szCs w:val="14"/>
                                <w:rtl/>
                              </w:rPr>
                            </w:pPr>
                          </w:p>
                          <w:p w:rsidR="00080567" w:rsidRDefault="00080567" w:rsidP="00080567">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080567" w:rsidRPr="00820FB6" w:rsidRDefault="00080567" w:rsidP="00080567">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530B2396" id="Group 1" o:spid="_x0000_s1026" style="position:absolute;left:0;text-align:left;margin-left:17.3pt;margin-top:11.7pt;width:437.6pt;height:184.65pt;z-index:251670528"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HlW9fuAAAAAJAQAADwAAAGRycy9kb3ducmV2LnhtbEyPTUvDQBCG74L/YRnBm918&#10;1NrEbEop6qkUbIXibZtMk9DsbMhuk/TfO570ODwv7zxvtppMKwbsXWNJQTgLQCAVtmyoUvB1eH9a&#10;gnBeU6lbS6jghg5W+f1dptPSjvSJw95XgkvIpVpB7X2XSumKGo12M9shMTvb3mjPZ1/Jstcjl5tW&#10;RkGwkEY3xB9q3eGmxuKyvxoFH6Me13H4Nmwv583t+/C8O25DVOrxYVq/gvA4+b8w/OqzOuTsdLJX&#10;Kp1oFcTzBScVRPEcBPMkSHjKiUESvYDMM/l/Qf4DAAD//wMAUEsBAi0AFAAGAAgAAAAhALaDOJL+&#10;AAAA4QEAABMAAAAAAAAAAAAAAAAAAAAAAFtDb250ZW50X1R5cGVzXS54bWxQSwECLQAUAAYACAAA&#10;ACEAOP0h/9YAAACUAQAACwAAAAAAAAAAAAAAAAAvAQAAX3JlbHMvLnJlbHNQSwECLQAUAAYACAAA&#10;ACEA3fpk5KQDAADYCQAADgAAAAAAAAAAAAAAAAAuAgAAZHJzL2Uyb0RvYy54bWxQSwECLQAUAAYA&#10;CAAAACEAHlW9fuAAAAAJAQAADwAAAAAAAAAAAAAAAAD+BQAAZHJzL2Rvd25yZXYueG1sUEsFBgAA&#10;AAAEAAQA8wAAAAsHA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080567" w:rsidRPr="0078203C" w:rsidRDefault="00080567" w:rsidP="0008056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080567" w:rsidRPr="00820FB6" w:rsidRDefault="00080567" w:rsidP="00080567">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080567" w:rsidRPr="0078203C" w:rsidRDefault="00080567" w:rsidP="0008056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080567" w:rsidRPr="00B23B44" w:rsidRDefault="00080567" w:rsidP="00080567">
                      <w:pPr>
                        <w:spacing w:after="0" w:line="240" w:lineRule="auto"/>
                        <w:jc w:val="lowKashida"/>
                        <w:rPr>
                          <w:rFonts w:ascii="IRANSans" w:hAnsi="IRANSans" w:cs="IRANSans"/>
                          <w:b/>
                          <w:bCs/>
                          <w:color w:val="595959" w:themeColor="text1" w:themeTint="A6"/>
                          <w:sz w:val="14"/>
                          <w:szCs w:val="14"/>
                          <w:rtl/>
                        </w:rPr>
                      </w:pPr>
                    </w:p>
                    <w:p w:rsidR="00080567" w:rsidRDefault="00080567" w:rsidP="00080567">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080567" w:rsidRPr="00820FB6" w:rsidRDefault="00080567" w:rsidP="00080567">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7E0" w:rsidRDefault="005F37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4220BB5" wp14:editId="5928130B">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2753C1" w:rsidRPr="002753C1">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2753C1" w:rsidRPr="002753C1">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161C9"/>
    <w:rsid w:val="0002182A"/>
    <w:rsid w:val="00036C19"/>
    <w:rsid w:val="000535B0"/>
    <w:rsid w:val="00060DBF"/>
    <w:rsid w:val="00066C3D"/>
    <w:rsid w:val="000678DB"/>
    <w:rsid w:val="00070DE6"/>
    <w:rsid w:val="00071B6A"/>
    <w:rsid w:val="0007304E"/>
    <w:rsid w:val="00073091"/>
    <w:rsid w:val="00080567"/>
    <w:rsid w:val="00086C18"/>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8742D"/>
    <w:rsid w:val="001A0DE6"/>
    <w:rsid w:val="001B7996"/>
    <w:rsid w:val="001C3150"/>
    <w:rsid w:val="001D639B"/>
    <w:rsid w:val="001F33F2"/>
    <w:rsid w:val="00200E72"/>
    <w:rsid w:val="00202FAE"/>
    <w:rsid w:val="00207488"/>
    <w:rsid w:val="00216A2F"/>
    <w:rsid w:val="00224816"/>
    <w:rsid w:val="00225944"/>
    <w:rsid w:val="00235DD7"/>
    <w:rsid w:val="00265127"/>
    <w:rsid w:val="00267399"/>
    <w:rsid w:val="002753C1"/>
    <w:rsid w:val="002767FF"/>
    <w:rsid w:val="002774E1"/>
    <w:rsid w:val="00286BBD"/>
    <w:rsid w:val="00290F2A"/>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3665E"/>
    <w:rsid w:val="00345A39"/>
    <w:rsid w:val="00345AA4"/>
    <w:rsid w:val="00352519"/>
    <w:rsid w:val="00362D2D"/>
    <w:rsid w:val="00382159"/>
    <w:rsid w:val="00393958"/>
    <w:rsid w:val="003B077F"/>
    <w:rsid w:val="003B1FAF"/>
    <w:rsid w:val="003C0164"/>
    <w:rsid w:val="003C20DF"/>
    <w:rsid w:val="003D4809"/>
    <w:rsid w:val="003E564A"/>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3509D"/>
    <w:rsid w:val="005418EC"/>
    <w:rsid w:val="005445B3"/>
    <w:rsid w:val="00550872"/>
    <w:rsid w:val="00562148"/>
    <w:rsid w:val="00575A7B"/>
    <w:rsid w:val="00575DDF"/>
    <w:rsid w:val="00586F78"/>
    <w:rsid w:val="00587ACE"/>
    <w:rsid w:val="005A5572"/>
    <w:rsid w:val="005C2B24"/>
    <w:rsid w:val="005C3FDF"/>
    <w:rsid w:val="005E6ADA"/>
    <w:rsid w:val="005F0991"/>
    <w:rsid w:val="005F0C9E"/>
    <w:rsid w:val="005F20AF"/>
    <w:rsid w:val="005F37E0"/>
    <w:rsid w:val="005F708B"/>
    <w:rsid w:val="0060160B"/>
    <w:rsid w:val="00611834"/>
    <w:rsid w:val="006209EB"/>
    <w:rsid w:val="006318BE"/>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58D7"/>
    <w:rsid w:val="00707AF3"/>
    <w:rsid w:val="007105C6"/>
    <w:rsid w:val="00713ADB"/>
    <w:rsid w:val="00716751"/>
    <w:rsid w:val="0072308B"/>
    <w:rsid w:val="00730908"/>
    <w:rsid w:val="00735B2F"/>
    <w:rsid w:val="00736A72"/>
    <w:rsid w:val="00745309"/>
    <w:rsid w:val="00753B29"/>
    <w:rsid w:val="007666A7"/>
    <w:rsid w:val="007707B1"/>
    <w:rsid w:val="00770DD0"/>
    <w:rsid w:val="00774724"/>
    <w:rsid w:val="007811AD"/>
    <w:rsid w:val="0078203C"/>
    <w:rsid w:val="00785444"/>
    <w:rsid w:val="007864E5"/>
    <w:rsid w:val="00786A8F"/>
    <w:rsid w:val="00791AF6"/>
    <w:rsid w:val="00795C0B"/>
    <w:rsid w:val="007A61F0"/>
    <w:rsid w:val="007B56ED"/>
    <w:rsid w:val="007B7647"/>
    <w:rsid w:val="007D1BEC"/>
    <w:rsid w:val="007D21A6"/>
    <w:rsid w:val="007E200C"/>
    <w:rsid w:val="007F254C"/>
    <w:rsid w:val="0080465B"/>
    <w:rsid w:val="00811080"/>
    <w:rsid w:val="008277C9"/>
    <w:rsid w:val="0083525F"/>
    <w:rsid w:val="00836F1D"/>
    <w:rsid w:val="00841884"/>
    <w:rsid w:val="00851885"/>
    <w:rsid w:val="008538F4"/>
    <w:rsid w:val="00860F05"/>
    <w:rsid w:val="008A2AA2"/>
    <w:rsid w:val="008A76C2"/>
    <w:rsid w:val="008C509D"/>
    <w:rsid w:val="008D6D10"/>
    <w:rsid w:val="008D795B"/>
    <w:rsid w:val="008E0207"/>
    <w:rsid w:val="008E29C8"/>
    <w:rsid w:val="008E55B5"/>
    <w:rsid w:val="008E5895"/>
    <w:rsid w:val="008E6EF7"/>
    <w:rsid w:val="008F4D3D"/>
    <w:rsid w:val="008F5A92"/>
    <w:rsid w:val="00927672"/>
    <w:rsid w:val="009416C4"/>
    <w:rsid w:val="00944B95"/>
    <w:rsid w:val="00944EC1"/>
    <w:rsid w:val="00955627"/>
    <w:rsid w:val="009575A7"/>
    <w:rsid w:val="00961EDC"/>
    <w:rsid w:val="00965313"/>
    <w:rsid w:val="00971C57"/>
    <w:rsid w:val="0098057F"/>
    <w:rsid w:val="00982C20"/>
    <w:rsid w:val="009866DC"/>
    <w:rsid w:val="0098672B"/>
    <w:rsid w:val="0099124E"/>
    <w:rsid w:val="0099294B"/>
    <w:rsid w:val="009932AE"/>
    <w:rsid w:val="00995639"/>
    <w:rsid w:val="00995CB2"/>
    <w:rsid w:val="009A17A3"/>
    <w:rsid w:val="009B0F7A"/>
    <w:rsid w:val="009B15A6"/>
    <w:rsid w:val="009D47C9"/>
    <w:rsid w:val="009D6D2D"/>
    <w:rsid w:val="009E05E3"/>
    <w:rsid w:val="009E23A2"/>
    <w:rsid w:val="00A058F0"/>
    <w:rsid w:val="00A116C4"/>
    <w:rsid w:val="00A16DD3"/>
    <w:rsid w:val="00A20483"/>
    <w:rsid w:val="00A2369C"/>
    <w:rsid w:val="00A2742A"/>
    <w:rsid w:val="00A406D4"/>
    <w:rsid w:val="00A42700"/>
    <w:rsid w:val="00A4786A"/>
    <w:rsid w:val="00A542B3"/>
    <w:rsid w:val="00A62627"/>
    <w:rsid w:val="00A659D3"/>
    <w:rsid w:val="00A6684F"/>
    <w:rsid w:val="00A721AA"/>
    <w:rsid w:val="00A74C46"/>
    <w:rsid w:val="00A901C0"/>
    <w:rsid w:val="00AB4009"/>
    <w:rsid w:val="00AB5D69"/>
    <w:rsid w:val="00AC2E49"/>
    <w:rsid w:val="00AC4F76"/>
    <w:rsid w:val="00AD0ABD"/>
    <w:rsid w:val="00AE494C"/>
    <w:rsid w:val="00AE7FD0"/>
    <w:rsid w:val="00AF63FE"/>
    <w:rsid w:val="00B00085"/>
    <w:rsid w:val="00B11796"/>
    <w:rsid w:val="00B126F4"/>
    <w:rsid w:val="00B17A32"/>
    <w:rsid w:val="00B210C4"/>
    <w:rsid w:val="00B23B4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B0B55"/>
    <w:rsid w:val="00BC3A8B"/>
    <w:rsid w:val="00BC5148"/>
    <w:rsid w:val="00BF7BEF"/>
    <w:rsid w:val="00BF7D53"/>
    <w:rsid w:val="00C00E39"/>
    <w:rsid w:val="00C10BB9"/>
    <w:rsid w:val="00C11A4F"/>
    <w:rsid w:val="00C266A1"/>
    <w:rsid w:val="00C36532"/>
    <w:rsid w:val="00C42199"/>
    <w:rsid w:val="00C44FA3"/>
    <w:rsid w:val="00C515CD"/>
    <w:rsid w:val="00C51C9E"/>
    <w:rsid w:val="00C54A65"/>
    <w:rsid w:val="00C641F7"/>
    <w:rsid w:val="00C66963"/>
    <w:rsid w:val="00C738B2"/>
    <w:rsid w:val="00C75226"/>
    <w:rsid w:val="00C9158F"/>
    <w:rsid w:val="00CA537D"/>
    <w:rsid w:val="00CB1ABE"/>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748F9"/>
    <w:rsid w:val="00D75686"/>
    <w:rsid w:val="00D756CB"/>
    <w:rsid w:val="00D77EB1"/>
    <w:rsid w:val="00DB2195"/>
    <w:rsid w:val="00DB5857"/>
    <w:rsid w:val="00DB5979"/>
    <w:rsid w:val="00DC2DA7"/>
    <w:rsid w:val="00DC32B4"/>
    <w:rsid w:val="00DC4A68"/>
    <w:rsid w:val="00DD1261"/>
    <w:rsid w:val="00DF386F"/>
    <w:rsid w:val="00DF3EBC"/>
    <w:rsid w:val="00DF4B9F"/>
    <w:rsid w:val="00DF5ACA"/>
    <w:rsid w:val="00E032FA"/>
    <w:rsid w:val="00E319DD"/>
    <w:rsid w:val="00E31B9F"/>
    <w:rsid w:val="00E33A5E"/>
    <w:rsid w:val="00E442A6"/>
    <w:rsid w:val="00E64669"/>
    <w:rsid w:val="00E77613"/>
    <w:rsid w:val="00E85120"/>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58EB"/>
    <w:rsid w:val="00F16C42"/>
    <w:rsid w:val="00F26DB5"/>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B23B44"/>
    <w:pPr>
      <w:keepNext/>
      <w:keepLines/>
      <w:spacing w:before="12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Heading1Char">
    <w:name w:val="Heading 1 Char"/>
    <w:aliases w:val="تیتر متن Char"/>
    <w:basedOn w:val="DefaultParagraphFont"/>
    <w:link w:val="Heading1"/>
    <w:uiPriority w:val="9"/>
    <w:rsid w:val="00B23B44"/>
    <w:rPr>
      <w:rFonts w:asciiTheme="majorHAnsi" w:eastAsiaTheme="majorEastAsia" w:hAnsiTheme="majorHAnsi" w:cs="IRTitr"/>
      <w:b/>
      <w:color w:val="0000CC"/>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B23B44"/>
    <w:pPr>
      <w:keepNext/>
      <w:keepLines/>
      <w:spacing w:before="12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Heading1Char">
    <w:name w:val="Heading 1 Char"/>
    <w:aliases w:val="تیتر متن Char"/>
    <w:basedOn w:val="DefaultParagraphFont"/>
    <w:link w:val="Heading1"/>
    <w:uiPriority w:val="9"/>
    <w:rsid w:val="00B23B44"/>
    <w:rPr>
      <w:rFonts w:asciiTheme="majorHAnsi" w:eastAsiaTheme="majorEastAsia" w:hAnsiTheme="majorHAnsi" w:cs="IRTitr"/>
      <w:b/>
      <w:color w:val="0000C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40374">
      <w:bodyDiv w:val="1"/>
      <w:marLeft w:val="0"/>
      <w:marRight w:val="0"/>
      <w:marTop w:val="0"/>
      <w:marBottom w:val="0"/>
      <w:divBdr>
        <w:top w:val="none" w:sz="0" w:space="0" w:color="auto"/>
        <w:left w:val="none" w:sz="0" w:space="0" w:color="auto"/>
        <w:bottom w:val="none" w:sz="0" w:space="0" w:color="auto"/>
        <w:right w:val="none" w:sz="0" w:space="0" w:color="auto"/>
      </w:divBdr>
    </w:div>
    <w:div w:id="779186721">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670713165">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25AFF-4198-4008-B5C0-1A2D0ABD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6</cp:revision>
  <cp:lastPrinted>2020-03-16T19:50:00Z</cp:lastPrinted>
  <dcterms:created xsi:type="dcterms:W3CDTF">2020-03-14T06:20:00Z</dcterms:created>
  <dcterms:modified xsi:type="dcterms:W3CDTF">2020-03-16T19:50:00Z</dcterms:modified>
</cp:coreProperties>
</file>