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2955F6" w:rsidRDefault="002955F6" w:rsidP="002955F6">
      <w:pPr>
        <w:pStyle w:val="a2"/>
        <w:rPr>
          <w:rFonts w:ascii="IRBadr" w:hAnsi="IRBadr"/>
          <w:b/>
          <w:bCs/>
          <w:sz w:val="56"/>
          <w:szCs w:val="56"/>
        </w:rPr>
      </w:pPr>
      <w:r>
        <w:rPr>
          <w:rFonts w:hint="cs"/>
          <w:rtl/>
        </w:rPr>
        <w:t>روش تربیتیِ معرفت نفس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2955F6">
              <w:rPr>
                <w:rFonts w:asciiTheme="minorBidi" w:hAnsiTheme="minorBidi"/>
                <w:color w:val="06007A"/>
                <w:sz w:val="28"/>
                <w:szCs w:val="28"/>
              </w:rPr>
              <w:t>82</w:t>
            </w:r>
          </w:p>
        </w:tc>
      </w:tr>
      <w:tr w:rsidR="002955F6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955F6" w:rsidRPr="00A42700" w:rsidRDefault="002955F6" w:rsidP="002955F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955F6" w:rsidRDefault="002955F6" w:rsidP="00F45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تزکیه‌ای/تقوای عمومی/اصلاح اندیشه/آشنایی با مسیر</w:t>
            </w:r>
            <w:r w:rsidR="00116B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16B65" w:rsidRPr="00116B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ویژگی</w:t>
            </w:r>
            <w:r w:rsidR="00116B65" w:rsidRPr="00116B6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6B65" w:rsidRPr="00116B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های</w:t>
            </w:r>
            <w:r w:rsidR="00116B65" w:rsidRPr="00116B6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6B65" w:rsidRPr="00116B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مسیر</w:t>
            </w:r>
            <w:bookmarkStart w:id="0" w:name="_GoBack"/>
            <w:bookmarkEnd w:id="0"/>
          </w:p>
        </w:tc>
      </w:tr>
      <w:tr w:rsidR="002955F6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955F6" w:rsidRPr="00A42700" w:rsidRDefault="002955F6" w:rsidP="002955F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955F6" w:rsidRDefault="002955F6" w:rsidP="00295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معرفت نفس، اخلاق خشک، آشنایی با مسیر، تزکیه نفس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2955F6" w:rsidRPr="002955F6" w:rsidRDefault="002955F6" w:rsidP="002955F6">
      <w:pPr>
        <w:pStyle w:val="a1"/>
      </w:pPr>
      <w:r w:rsidRPr="002955F6">
        <w:rPr>
          <w:rtl/>
        </w:rPr>
        <w:lastRenderedPageBreak/>
        <w:t>روش‌ها</w:t>
      </w:r>
      <w:r>
        <w:rPr>
          <w:rtl/>
        </w:rPr>
        <w:t>ی</w:t>
      </w:r>
      <w:r w:rsidRPr="002955F6">
        <w:rPr>
          <w:rtl/>
        </w:rPr>
        <w:t xml:space="preserve"> اخلاق عملی معمولاً به دو شكل هستند:</w:t>
      </w:r>
    </w:p>
    <w:p w:rsidR="002955F6" w:rsidRPr="002955F6" w:rsidRDefault="002955F6" w:rsidP="002955F6">
      <w:pPr>
        <w:pStyle w:val="a1"/>
        <w:rPr>
          <w:lang w:bidi="ar-SA"/>
        </w:rPr>
      </w:pPr>
      <w:r w:rsidRPr="002955F6">
        <w:rPr>
          <w:rtl/>
        </w:rPr>
        <w:t>الف: از تلق</w:t>
      </w:r>
      <w:r>
        <w:rPr>
          <w:rtl/>
        </w:rPr>
        <w:t>ی</w:t>
      </w:r>
      <w:r w:rsidRPr="002955F6">
        <w:rPr>
          <w:rtl/>
        </w:rPr>
        <w:t>ن و روش‌ها</w:t>
      </w:r>
      <w:r>
        <w:rPr>
          <w:rtl/>
        </w:rPr>
        <w:t>ی</w:t>
      </w:r>
      <w:r w:rsidRPr="002955F6">
        <w:rPr>
          <w:rtl/>
        </w:rPr>
        <w:t xml:space="preserve"> روانشناس</w:t>
      </w:r>
      <w:r>
        <w:rPr>
          <w:rtl/>
        </w:rPr>
        <w:t>ی</w:t>
      </w:r>
      <w:r w:rsidRPr="002955F6">
        <w:rPr>
          <w:rtl/>
        </w:rPr>
        <w:t xml:space="preserve"> استفاده م</w:t>
      </w:r>
      <w:r>
        <w:rPr>
          <w:rtl/>
        </w:rPr>
        <w:t>ی</w:t>
      </w:r>
      <w:r w:rsidRPr="002955F6">
        <w:rPr>
          <w:rtl/>
        </w:rPr>
        <w:t>‌شود، تا صفات خوب</w:t>
      </w:r>
      <w:r>
        <w:rPr>
          <w:rtl/>
        </w:rPr>
        <w:t>ی</w:t>
      </w:r>
      <w:r w:rsidRPr="002955F6">
        <w:rPr>
          <w:rtl/>
        </w:rPr>
        <w:t xml:space="preserve"> را ملكه كند و صفات رذ</w:t>
      </w:r>
      <w:r>
        <w:rPr>
          <w:rtl/>
        </w:rPr>
        <w:t>ی</w:t>
      </w:r>
      <w:r w:rsidRPr="002955F6">
        <w:rPr>
          <w:rtl/>
        </w:rPr>
        <w:t>له‌ا</w:t>
      </w:r>
      <w:r>
        <w:rPr>
          <w:rtl/>
        </w:rPr>
        <w:t>ی</w:t>
      </w:r>
      <w:r w:rsidRPr="002955F6">
        <w:rPr>
          <w:rtl/>
        </w:rPr>
        <w:t xml:space="preserve"> را از فرد دور كند. ا</w:t>
      </w:r>
      <w:r>
        <w:rPr>
          <w:rtl/>
        </w:rPr>
        <w:t>ی</w:t>
      </w:r>
      <w:r w:rsidRPr="002955F6">
        <w:rPr>
          <w:rtl/>
        </w:rPr>
        <w:t xml:space="preserve">ن نوع اخلاق، </w:t>
      </w:r>
      <w:r>
        <w:rPr>
          <w:rtl/>
        </w:rPr>
        <w:t>ی</w:t>
      </w:r>
      <w:r w:rsidRPr="002955F6">
        <w:rPr>
          <w:rtl/>
        </w:rPr>
        <w:t>ك اخلاق خشك و ب</w:t>
      </w:r>
      <w:r>
        <w:rPr>
          <w:rtl/>
        </w:rPr>
        <w:t>ی</w:t>
      </w:r>
      <w:r w:rsidRPr="002955F6">
        <w:rPr>
          <w:rtl/>
        </w:rPr>
        <w:t>‌روح م</w:t>
      </w:r>
      <w:r>
        <w:rPr>
          <w:rtl/>
        </w:rPr>
        <w:t>ی</w:t>
      </w:r>
      <w:r w:rsidRPr="002955F6">
        <w:rPr>
          <w:rtl/>
        </w:rPr>
        <w:t>‌شود. اخلاق</w:t>
      </w:r>
      <w:r>
        <w:rPr>
          <w:rtl/>
        </w:rPr>
        <w:t>ی</w:t>
      </w:r>
      <w:r w:rsidRPr="002955F6">
        <w:rPr>
          <w:rtl/>
        </w:rPr>
        <w:t xml:space="preserve"> كه چه بسا از آفت‌ها</w:t>
      </w:r>
      <w:r>
        <w:rPr>
          <w:rtl/>
        </w:rPr>
        <w:t>ی</w:t>
      </w:r>
      <w:r w:rsidRPr="002955F6">
        <w:rPr>
          <w:rtl/>
        </w:rPr>
        <w:t xml:space="preserve"> نامرئ</w:t>
      </w:r>
      <w:r>
        <w:rPr>
          <w:rtl/>
        </w:rPr>
        <w:t>ی</w:t>
      </w:r>
      <w:r w:rsidRPr="002955F6">
        <w:rPr>
          <w:rtl/>
        </w:rPr>
        <w:t>، آس</w:t>
      </w:r>
      <w:r>
        <w:rPr>
          <w:rtl/>
        </w:rPr>
        <w:t>ی</w:t>
      </w:r>
      <w:r w:rsidRPr="002955F6">
        <w:rPr>
          <w:rtl/>
        </w:rPr>
        <w:t>ب م</w:t>
      </w:r>
      <w:r>
        <w:rPr>
          <w:rtl/>
        </w:rPr>
        <w:t>ی</w:t>
      </w:r>
      <w:r w:rsidRPr="002955F6">
        <w:rPr>
          <w:rtl/>
        </w:rPr>
        <w:t>‌ب</w:t>
      </w:r>
      <w:r>
        <w:rPr>
          <w:rtl/>
        </w:rPr>
        <w:t>ی</w:t>
      </w:r>
      <w:r w:rsidRPr="002955F6">
        <w:rPr>
          <w:rtl/>
        </w:rPr>
        <w:t xml:space="preserve">ند، بدون آن كه خود انسان متوجه باشد. </w:t>
      </w:r>
    </w:p>
    <w:p w:rsidR="002955F6" w:rsidRPr="002955F6" w:rsidRDefault="002955F6" w:rsidP="002955F6">
      <w:pPr>
        <w:pStyle w:val="a1"/>
      </w:pPr>
      <w:r w:rsidRPr="002955F6">
        <w:rPr>
          <w:rtl/>
        </w:rPr>
        <w:t>ب: بر اساس فطرت و شناخت حق</w:t>
      </w:r>
      <w:r>
        <w:rPr>
          <w:rtl/>
        </w:rPr>
        <w:t>ی</w:t>
      </w:r>
      <w:r w:rsidRPr="002955F6">
        <w:rPr>
          <w:rtl/>
        </w:rPr>
        <w:t>قت نفس، شروع م</w:t>
      </w:r>
      <w:r>
        <w:rPr>
          <w:rtl/>
        </w:rPr>
        <w:t>ی</w:t>
      </w:r>
      <w:r w:rsidRPr="002955F6">
        <w:rPr>
          <w:rtl/>
        </w:rPr>
        <w:t>‌شود و روش ترب</w:t>
      </w:r>
      <w:r>
        <w:rPr>
          <w:rtl/>
        </w:rPr>
        <w:t>ی</w:t>
      </w:r>
      <w:r w:rsidRPr="002955F6">
        <w:rPr>
          <w:rtl/>
        </w:rPr>
        <w:t>ت</w:t>
      </w:r>
      <w:r>
        <w:rPr>
          <w:rtl/>
        </w:rPr>
        <w:t>ی</w:t>
      </w:r>
      <w:r w:rsidRPr="002955F6">
        <w:rPr>
          <w:rtl/>
        </w:rPr>
        <w:t xml:space="preserve"> است كه نفس در اثر ترب</w:t>
      </w:r>
      <w:r>
        <w:rPr>
          <w:rtl/>
        </w:rPr>
        <w:t>ی</w:t>
      </w:r>
      <w:r w:rsidRPr="002955F6">
        <w:rPr>
          <w:rtl/>
        </w:rPr>
        <w:t>ت، رشد م</w:t>
      </w:r>
      <w:r>
        <w:rPr>
          <w:rtl/>
        </w:rPr>
        <w:t>ی</w:t>
      </w:r>
      <w:r w:rsidRPr="002955F6">
        <w:rPr>
          <w:rtl/>
        </w:rPr>
        <w:t>‌كند و صفات، از آن بروز م</w:t>
      </w:r>
      <w:r>
        <w:rPr>
          <w:rtl/>
        </w:rPr>
        <w:t>ی</w:t>
      </w:r>
      <w:r w:rsidRPr="002955F6">
        <w:rPr>
          <w:rtl/>
        </w:rPr>
        <w:t>‌كند؛ نه این که از ب</w:t>
      </w:r>
      <w:r>
        <w:rPr>
          <w:rtl/>
        </w:rPr>
        <w:t>ی</w:t>
      </w:r>
      <w:r w:rsidRPr="002955F6">
        <w:rPr>
          <w:rtl/>
        </w:rPr>
        <w:t>رون تحم</w:t>
      </w:r>
      <w:r>
        <w:rPr>
          <w:rtl/>
        </w:rPr>
        <w:t>ی</w:t>
      </w:r>
      <w:r w:rsidRPr="002955F6">
        <w:rPr>
          <w:rtl/>
        </w:rPr>
        <w:t xml:space="preserve">ل شود. </w:t>
      </w:r>
    </w:p>
    <w:p w:rsidR="002955F6" w:rsidRPr="002955F6" w:rsidRDefault="002955F6" w:rsidP="002955F6">
      <w:pPr>
        <w:pStyle w:val="a1"/>
        <w:rPr>
          <w:rtl/>
        </w:rPr>
      </w:pPr>
      <w:r w:rsidRPr="002955F6">
        <w:rPr>
          <w:rtl/>
        </w:rPr>
        <w:t>و فرق این دو روش، در واقع فرق گل مصنوعی و گل طبیعی است که در اولی از بیرون شاخ و برگهایی به هم چسبانده شده و گلی مصنوعی درست می شود که در واقع گل نیست و انسان خیال می کند که گل است؛ از این رو فاقد آثار طبیعی، طراوت و عطر و بوی گل است . اما در دومی انسان مانند بذر گلی است که با قرار گرفتن در شرایط رشد، از درون خود شروع به حرکت کرده و به یک گل طبیعی با آثار خاص خود خواهد رسید و صفات از آن بروز خواهد کرد و نه اینکه تحمیلی باشد. مسیر معرفت نفس با استفاده از مراتب مراقبه های انفسی، به شناخت خداوند و همه کمالات انسان می رسد.</w:t>
      </w:r>
    </w:p>
    <w:p w:rsidR="002955F6" w:rsidRPr="002955F6" w:rsidRDefault="002955F6" w:rsidP="002955F6">
      <w:pPr>
        <w:pStyle w:val="a1"/>
        <w:rPr>
          <w:rtl/>
          <w:lang w:bidi="ar-SA"/>
        </w:rPr>
      </w:pPr>
      <w:r w:rsidRPr="002955F6">
        <w:rPr>
          <w:rFonts w:ascii="Cambria" w:hAnsi="Cambria" w:cs="Cambria" w:hint="cs"/>
          <w:rtl/>
        </w:rPr>
        <w:t> </w:t>
      </w:r>
    </w:p>
    <w:p w:rsidR="002955F6" w:rsidRPr="002955F6" w:rsidRDefault="002955F6" w:rsidP="002955F6">
      <w:pPr>
        <w:pStyle w:val="a1"/>
        <w:rPr>
          <w:rtl/>
        </w:rPr>
      </w:pPr>
      <w:r w:rsidRPr="002955F6">
        <w:rPr>
          <w:rtl/>
        </w:rPr>
        <w:t>آیت الله سعادت پرور(ره) در کتاب سرالاسراء</w:t>
      </w:r>
      <w:r w:rsidRPr="002955F6">
        <w:rPr>
          <w:vertAlign w:val="superscript"/>
          <w:rtl/>
        </w:rPr>
        <w:footnoteReference w:id="1"/>
      </w:r>
      <w:r w:rsidRPr="002955F6">
        <w:rPr>
          <w:vertAlign w:val="superscript"/>
          <w:rtl/>
        </w:rPr>
        <w:t xml:space="preserve"> </w:t>
      </w:r>
      <w:r>
        <w:rPr>
          <w:rFonts w:hint="cs"/>
          <w:rtl/>
        </w:rPr>
        <w:t xml:space="preserve"> </w:t>
      </w:r>
      <w:r w:rsidRPr="002955F6">
        <w:rPr>
          <w:rtl/>
        </w:rPr>
        <w:t>آیات و روایات روش دوم یعنی روش معرفت نفس را چنین می آورند:</w:t>
      </w:r>
    </w:p>
    <w:p w:rsidR="002955F6" w:rsidRPr="002955F6" w:rsidRDefault="002955F6" w:rsidP="00BD5B3E">
      <w:pPr>
        <w:pStyle w:val="a1"/>
        <w:spacing w:after="0"/>
        <w:rPr>
          <w:b/>
          <w:bCs/>
          <w:rtl/>
        </w:rPr>
      </w:pPr>
      <w:r w:rsidRPr="002955F6">
        <w:rPr>
          <w:b/>
          <w:bCs/>
          <w:rtl/>
        </w:rPr>
        <w:t>قرآن كريم‏</w:t>
      </w:r>
    </w:p>
    <w:p w:rsidR="002955F6" w:rsidRPr="002955F6" w:rsidRDefault="002955F6" w:rsidP="00BD5B3E">
      <w:pPr>
        <w:pStyle w:val="a1"/>
        <w:spacing w:after="0"/>
        <w:rPr>
          <w:rtl/>
        </w:rPr>
      </w:pPr>
      <w:r w:rsidRPr="002955F6">
        <w:rPr>
          <w:rFonts w:cs="KFGQPC Uthmanic Script HAFS"/>
          <w:color w:val="1F497D" w:themeColor="text2"/>
          <w:rtl/>
        </w:rPr>
        <w:t>وَ إِذْ أَخَذَ رَبُّكَ مِنْ بَنِي آدَمَ مِنْ ظُهُورِهِمْ ذُرِّيَّتَهُمْ وَ أَشْهَدَهُمْ عَلى‏ أَنْفُسِهِمْ أَ لَسْتُ بِرَبِّكُمْ قالُوا بَلى‏ شَهِدْنا</w:t>
      </w:r>
      <w:r w:rsidRPr="002955F6">
        <w:rPr>
          <w:color w:val="1F497D" w:themeColor="text2"/>
          <w:rtl/>
        </w:rPr>
        <w:t xml:space="preserve"> </w:t>
      </w:r>
      <w:r w:rsidRPr="002955F6">
        <w:rPr>
          <w:rStyle w:val="FootnoteReference"/>
          <w:rtl/>
        </w:rPr>
        <w:footnoteReference w:id="2"/>
      </w:r>
    </w:p>
    <w:p w:rsidR="002955F6" w:rsidRPr="002955F6" w:rsidRDefault="002955F6" w:rsidP="002955F6">
      <w:pPr>
        <w:pStyle w:val="a1"/>
      </w:pPr>
      <w:r w:rsidRPr="002955F6">
        <w:rPr>
          <w:rtl/>
        </w:rPr>
        <w:t>«وآن‏گاه كه پروردگارت از بنى آدم از فرزندانشان پيمان گرفت و آن‏ها را بر نفس خودشان شاهدگرفت كه آيامن پروردگار شما نيستم؟ گفتند: آرى، گواهى مى‏دهيم.»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1F497D" w:themeColor="text2"/>
          <w:sz w:val="36"/>
          <w:szCs w:val="36"/>
          <w:rtl/>
        </w:rPr>
      </w:pPr>
      <w:r w:rsidRPr="002955F6">
        <w:rPr>
          <w:rFonts w:ascii="IRBadr" w:eastAsia="Arial Unicode MS" w:hAnsi="IRBadr" w:cs="KFGQPC Uthmanic Script HAFS"/>
          <w:color w:val="1F497D" w:themeColor="text2"/>
          <w:sz w:val="36"/>
          <w:szCs w:val="36"/>
          <w:rtl/>
        </w:rPr>
        <w:lastRenderedPageBreak/>
        <w:t>وَ لا تَكُونُوا كَالَّذِينَ نَسُوا اللَّهَ فَأَنْساهُمْ أَنْفُسَهُم</w:t>
      </w:r>
      <w:r>
        <w:rPr>
          <w:rFonts w:ascii="IRBadr" w:eastAsia="Arial Unicode MS" w:hAnsi="IRBadr" w:cs="IRBadr"/>
          <w:color w:val="1F497D" w:themeColor="text2"/>
          <w:sz w:val="36"/>
          <w:szCs w:val="36"/>
          <w:rtl/>
        </w:rPr>
        <w:t>‏</w:t>
      </w:r>
      <w:r>
        <w:rPr>
          <w:rFonts w:ascii="IRBadr" w:eastAsia="Arial Unicode MS" w:hAnsi="IRBadr" w:cs="IRBadr" w:hint="cs"/>
          <w:color w:val="1F497D" w:themeColor="text2"/>
          <w:sz w:val="36"/>
          <w:szCs w:val="36"/>
          <w:rtl/>
        </w:rPr>
        <w:t xml:space="preserve"> </w:t>
      </w:r>
      <w:r>
        <w:rPr>
          <w:rStyle w:val="FootnoteReference"/>
          <w:rFonts w:ascii="IRBadr" w:eastAsia="Arial Unicode MS" w:hAnsi="IRBadr" w:cs="IRBadr"/>
          <w:color w:val="1F497D" w:themeColor="text2"/>
          <w:sz w:val="36"/>
          <w:szCs w:val="36"/>
          <w:rtl/>
        </w:rPr>
        <w:footnoteReference w:id="3"/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>«هم‏چون كسانى كه خدا را فراموش كردند نباشيد كه نفسشان را از يادشان برد و فراموشانيد ...»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</w:rPr>
      </w:pP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1F497D" w:themeColor="text2"/>
          <w:sz w:val="36"/>
          <w:szCs w:val="36"/>
          <w:rtl/>
        </w:rPr>
      </w:pPr>
      <w:r w:rsidRPr="002955F6">
        <w:rPr>
          <w:rFonts w:ascii="IRBadr" w:eastAsia="Arial Unicode MS" w:hAnsi="IRBadr" w:cs="KFGQPC Uthmanic Script HAFS"/>
          <w:color w:val="1F497D" w:themeColor="text2"/>
          <w:sz w:val="36"/>
          <w:szCs w:val="36"/>
          <w:rtl/>
        </w:rPr>
        <w:t>يا أَيُّهَا الَّذِينَ آمَنُوا عَلَيْكُمْ أَنْفُسَكُمْ لا يَضُرُّكُمْ مَنْ ضَلَّ إِذَا اهْتَدَيْتُم</w:t>
      </w:r>
      <w:r>
        <w:rPr>
          <w:rFonts w:ascii="IRBadr" w:eastAsia="Arial Unicode MS" w:hAnsi="IRBadr" w:cs="IRBadr" w:hint="cs"/>
          <w:color w:val="1F497D" w:themeColor="text2"/>
          <w:sz w:val="36"/>
          <w:szCs w:val="36"/>
          <w:rtl/>
        </w:rPr>
        <w:t xml:space="preserve"> </w:t>
      </w:r>
      <w:r>
        <w:rPr>
          <w:rFonts w:ascii="IRBadr" w:eastAsia="Arial Unicode MS" w:hAnsi="IRBadr" w:cs="IRBadr"/>
          <w:color w:val="1F497D" w:themeColor="text2"/>
          <w:sz w:val="36"/>
          <w:szCs w:val="36"/>
          <w:rtl/>
        </w:rPr>
        <w:t>‏</w:t>
      </w:r>
      <w:r>
        <w:rPr>
          <w:rStyle w:val="FootnoteReference"/>
          <w:rFonts w:ascii="IRBadr" w:eastAsia="Arial Unicode MS" w:hAnsi="IRBadr" w:cs="IRBadr"/>
          <w:color w:val="1F497D" w:themeColor="text2"/>
          <w:sz w:val="36"/>
          <w:szCs w:val="36"/>
          <w:rtl/>
        </w:rPr>
        <w:footnoteReference w:id="4"/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>«اى كسانى كه ايمان آورده‏ايد؟ بر شما باد به مراقبت نفستان، اگر شما هدايت يابيد كسى كه گمراه است به شما خسارتى نمى‏رساند.»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</w:rPr>
      </w:pP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b/>
          <w:bCs/>
          <w:color w:val="000000" w:themeColor="text1"/>
          <w:sz w:val="36"/>
          <w:szCs w:val="36"/>
          <w:rtl/>
        </w:rPr>
        <w:t>احاديث</w:t>
      </w: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>‏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اميرالمؤمنين عليه‏السّلام فرمود: «زيرك كسى است كه خود را شناخت و عمل خود را خالص كرد.»</w:t>
      </w:r>
      <w:r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 xml:space="preserve"> </w:t>
      </w:r>
      <w:r>
        <w:rPr>
          <w:rStyle w:val="FootnoteReference"/>
          <w:rFonts w:ascii="IRBadr" w:eastAsia="Arial Unicode MS" w:hAnsi="IRBadr" w:cs="IRBadr"/>
          <w:color w:val="000000" w:themeColor="text1"/>
          <w:sz w:val="36"/>
          <w:szCs w:val="36"/>
          <w:rtl/>
        </w:rPr>
        <w:footnoteReference w:id="5"/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«شناخت نفس، سودمندترين از دو شناخت است.»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«عارف كسى است كه نفس خود را بشناسد، آن را آزاد و از هر چه آن را (از خدا) دور مى‏سازد و فرار مى‏دهد، پاك كند.»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«نهايت معرفت آن است كه انسان خود را بشناسد.»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«شناخت نفس، سودمندترين شناخت‏هاست.»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«هر كس به معرفت نفس دست يافت، به رستگارى بزرگ رسيد.»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«برترين معرفت آن است كه انسان نفس خود را بشناسد.»</w:t>
      </w:r>
      <w:r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 xml:space="preserve"> </w:t>
      </w:r>
      <w:r>
        <w:rPr>
          <w:rStyle w:val="FootnoteReference"/>
          <w:rFonts w:ascii="IRBadr" w:eastAsia="Arial Unicode MS" w:hAnsi="IRBadr" w:cs="IRBadr"/>
          <w:color w:val="000000" w:themeColor="text1"/>
          <w:sz w:val="36"/>
          <w:szCs w:val="36"/>
          <w:rtl/>
        </w:rPr>
        <w:footnoteReference w:id="6"/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«برترين حكمت، معرفت انسان نسبت به نفس خودش و آگاهى نسبت به ارزش خويش مى‏باشد.»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lastRenderedPageBreak/>
        <w:t xml:space="preserve"> «بالاترين عقل، معرفت انسان نسبت به نفس خود است، پس هر كس نفس خود را شناخت، عاقل شد و هر كس نسبت به آن جاهل ماند، گمراه گشت.»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«در شگفتم از كسى كه نسبت به نفس خود جاهل است، چگونه پروردگارش را مى‏شناسد؟»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«كسى كه به نفس خويش جاهل است، چگونه ديگرى را مى‏شناسد؟»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>«هر كه نفس خود را شناخت، مجرد شد.»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«در شناخت براى انسان همين قدر كافى است كه نفس خود را بشناسد.»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«در نادانى انسان همين بس كه به نفس خود جاهل باشد.»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«هر كس نسبت به نفس خود جاهل باشد، آن را بيهوده رها كرده است.»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«هر كه نفس خود را شناخت، پروردگارش را شناخت.»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«هر كه نفس خود را شناخت، كارش بالا گرفت.»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«هر كه نفس خود را شناخت، نسبت به غير خودش عارفتر است.»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«به تحقيق، هر كس خود را بشناسد، به درجه نهايى هر معرفت و علمى رسيده است.»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«كسى كه نفس خود را نشناخت، از راه نجات دور شد و در گمراهى و جهالت فروافتاد.»</w:t>
      </w:r>
    </w:p>
    <w:p w:rsidR="002955F6" w:rsidRDefault="002955F6" w:rsidP="002955F6">
      <w:pPr>
        <w:spacing w:after="120"/>
        <w:jc w:val="lowKashida"/>
        <w:rPr>
          <w:rFonts w:ascii="IRBadr" w:eastAsia="Arial Unicode MS" w:hAnsi="IRBadr" w:cs="IRBadr"/>
          <w:color w:val="000000" w:themeColor="text1"/>
          <w:sz w:val="36"/>
          <w:szCs w:val="36"/>
          <w:rtl/>
        </w:rPr>
      </w:pPr>
      <w:r>
        <w:rPr>
          <w:rFonts w:ascii="IRBadr" w:eastAsia="Arial Unicode MS" w:hAnsi="IRBadr" w:cs="IRBadr"/>
          <w:color w:val="000000" w:themeColor="text1"/>
          <w:sz w:val="36"/>
          <w:szCs w:val="36"/>
          <w:rtl/>
        </w:rPr>
        <w:t xml:space="preserve"> «نسبت به نفس خود جاهل مباش؛ زيرا كسى كه در شناخت نفس خود جاهل باشد، نسبت به همه چيز جاهل است.»</w:t>
      </w:r>
      <w:r>
        <w:rPr>
          <w:rFonts w:ascii="IRBadr" w:eastAsia="Arial Unicode MS" w:hAnsi="IRBadr" w:cs="IRBadr" w:hint="cs"/>
          <w:color w:val="000000" w:themeColor="text1"/>
          <w:sz w:val="36"/>
          <w:szCs w:val="36"/>
          <w:rtl/>
        </w:rPr>
        <w:t xml:space="preserve"> </w:t>
      </w:r>
      <w:r>
        <w:rPr>
          <w:rStyle w:val="FootnoteReference"/>
          <w:rFonts w:ascii="IRBadr" w:eastAsia="Arial Unicode MS" w:hAnsi="IRBadr" w:cs="IRBadr"/>
          <w:color w:val="000000" w:themeColor="text1"/>
          <w:sz w:val="36"/>
          <w:szCs w:val="36"/>
          <w:rtl/>
        </w:rPr>
        <w:footnoteReference w:id="7"/>
      </w:r>
    </w:p>
    <w:p w:rsidR="002767FF" w:rsidRPr="00B23B44" w:rsidRDefault="002767FF" w:rsidP="00B23B44">
      <w:pPr>
        <w:pStyle w:val="a1"/>
      </w:pP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5E" w:rsidRDefault="001B7D5E" w:rsidP="00982C20">
      <w:pPr>
        <w:spacing w:after="0" w:line="240" w:lineRule="auto"/>
      </w:pPr>
      <w:r>
        <w:separator/>
      </w:r>
    </w:p>
  </w:endnote>
  <w:endnote w:type="continuationSeparator" w:id="0">
    <w:p w:rsidR="001B7D5E" w:rsidRDefault="001B7D5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5E" w:rsidRDefault="001B7D5E" w:rsidP="00982C20">
      <w:pPr>
        <w:spacing w:after="0" w:line="240" w:lineRule="auto"/>
      </w:pPr>
      <w:r>
        <w:separator/>
      </w:r>
    </w:p>
  </w:footnote>
  <w:footnote w:type="continuationSeparator" w:id="0">
    <w:p w:rsidR="001B7D5E" w:rsidRDefault="001B7D5E" w:rsidP="00982C20">
      <w:pPr>
        <w:spacing w:after="0" w:line="240" w:lineRule="auto"/>
      </w:pPr>
      <w:r>
        <w:continuationSeparator/>
      </w:r>
    </w:p>
  </w:footnote>
  <w:footnote w:id="1">
    <w:p w:rsidR="002955F6" w:rsidRPr="00BD5B3E" w:rsidRDefault="00BD5B3E" w:rsidP="00BD5B3E">
      <w:pPr>
        <w:pStyle w:val="a0"/>
      </w:pPr>
      <w:r w:rsidRPr="00BD5B3E">
        <w:rPr>
          <w:rFonts w:hint="cs"/>
          <w:rtl/>
        </w:rPr>
        <w:t xml:space="preserve"> </w:t>
      </w:r>
      <w:r w:rsidR="002955F6" w:rsidRPr="00BD5B3E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 -</w:t>
      </w:r>
      <w:r w:rsidR="002955F6" w:rsidRPr="00BD5B3E">
        <w:rPr>
          <w:rtl/>
        </w:rPr>
        <w:t xml:space="preserve"> </w:t>
      </w:r>
      <w:r w:rsidR="002955F6" w:rsidRPr="00BD5B3E">
        <w:rPr>
          <w:rFonts w:hint="cs"/>
          <w:rtl/>
        </w:rPr>
        <w:t>سر الاسراء، ج‏4، ص: 134</w:t>
      </w:r>
    </w:p>
  </w:footnote>
  <w:footnote w:id="2">
    <w:p w:rsidR="002955F6" w:rsidRDefault="002955F6" w:rsidP="00BD5B3E">
      <w:pPr>
        <w:pStyle w:val="a0"/>
      </w:pPr>
      <w:r w:rsidRPr="00BD5B3E">
        <w:rPr>
          <w:rStyle w:val="FootnoteReference"/>
          <w:vertAlign w:val="baseline"/>
        </w:rPr>
        <w:footnoteRef/>
      </w:r>
      <w:r w:rsidR="00BD5B3E" w:rsidRPr="00BD5B3E">
        <w:rPr>
          <w:rFonts w:hint="cs"/>
          <w:rtl/>
        </w:rPr>
        <w:t xml:space="preserve"> -</w:t>
      </w:r>
      <w:r w:rsidRPr="00BD5B3E">
        <w:rPr>
          <w:rtl/>
        </w:rPr>
        <w:t xml:space="preserve"> الاعراف: 172</w:t>
      </w:r>
    </w:p>
  </w:footnote>
  <w:footnote w:id="3">
    <w:p w:rsidR="002955F6" w:rsidRDefault="002955F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IRBadr" w:eastAsia="Arial Unicode MS" w:hAnsi="IRBadr" w:cs="IRBadr"/>
          <w:color w:val="000000" w:themeColor="text1"/>
          <w:sz w:val="28"/>
          <w:szCs w:val="28"/>
          <w:rtl/>
        </w:rPr>
        <w:t>الحشر: 19</w:t>
      </w:r>
    </w:p>
  </w:footnote>
  <w:footnote w:id="4">
    <w:p w:rsidR="002955F6" w:rsidRDefault="002955F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IRBadr" w:eastAsia="Arial Unicode MS" w:hAnsi="IRBadr" w:cs="IRBadr"/>
          <w:color w:val="000000" w:themeColor="text1"/>
          <w:sz w:val="28"/>
          <w:szCs w:val="28"/>
          <w:rtl/>
        </w:rPr>
        <w:t>المائدة: 105</w:t>
      </w:r>
    </w:p>
  </w:footnote>
  <w:footnote w:id="5">
    <w:p w:rsidR="002955F6" w:rsidRDefault="002955F6">
      <w:pPr>
        <w:pStyle w:val="FootnoteText"/>
      </w:pPr>
      <w:r>
        <w:rPr>
          <w:rFonts w:hint="cs"/>
          <w:rtl/>
        </w:rPr>
        <w:t xml:space="preserve"> </w:t>
      </w: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IRBadr" w:eastAsia="Arial Unicode MS" w:hAnsi="IRBadr" w:cs="IRBadr"/>
          <w:color w:val="000000" w:themeColor="text1"/>
          <w:sz w:val="28"/>
          <w:szCs w:val="28"/>
          <w:rtl/>
        </w:rPr>
        <w:t>الغرر والدّرر، باب المعرفة، و روایات در ادامه نیز از  این باب هستند.</w:t>
      </w:r>
    </w:p>
  </w:footnote>
  <w:footnote w:id="6">
    <w:p w:rsidR="002955F6" w:rsidRPr="002955F6" w:rsidRDefault="002955F6" w:rsidP="002955F6">
      <w:pPr>
        <w:pStyle w:val="a0"/>
      </w:pPr>
      <w:r w:rsidRPr="002955F6">
        <w:rPr>
          <w:rStyle w:val="FootnoteReference"/>
          <w:vertAlign w:val="baseline"/>
        </w:rPr>
        <w:footnoteRef/>
      </w:r>
      <w:r w:rsidRPr="002955F6">
        <w:rPr>
          <w:rFonts w:hint="cs"/>
          <w:rtl/>
        </w:rPr>
        <w:t xml:space="preserve"> -</w:t>
      </w:r>
      <w:r w:rsidRPr="002955F6">
        <w:rPr>
          <w:rtl/>
        </w:rPr>
        <w:t xml:space="preserve"> الغرر والدّرر، باب معرفة النّفس، و روایات در ادامه نیز از این باب هستند.</w:t>
      </w:r>
    </w:p>
  </w:footnote>
  <w:footnote w:id="7">
    <w:p w:rsidR="002955F6" w:rsidRPr="00BD5B3E" w:rsidRDefault="002955F6" w:rsidP="00BD5B3E">
      <w:pPr>
        <w:pStyle w:val="a0"/>
      </w:pPr>
      <w:r w:rsidRPr="00BD5B3E">
        <w:rPr>
          <w:rStyle w:val="FootnoteReference"/>
          <w:vertAlign w:val="baseline"/>
        </w:rPr>
        <w:footnoteRef/>
      </w:r>
      <w:r w:rsidRPr="00BD5B3E">
        <w:rPr>
          <w:rtl/>
        </w:rPr>
        <w:t xml:space="preserve"> </w:t>
      </w:r>
      <w:r w:rsidRPr="00BD5B3E">
        <w:rPr>
          <w:rFonts w:hint="cs"/>
          <w:rtl/>
        </w:rPr>
        <w:t xml:space="preserve">- </w:t>
      </w:r>
      <w:r w:rsidRPr="00BD5B3E">
        <w:rPr>
          <w:rtl/>
        </w:rPr>
        <w:t>الغرر والدّرر، باب الرضا عن النفس.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4E85" w:rsidRPr="00F64E8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64E85" w:rsidRPr="00F64E8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6B65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B7D5E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532E6"/>
    <w:rsid w:val="00265127"/>
    <w:rsid w:val="00267399"/>
    <w:rsid w:val="002767FF"/>
    <w:rsid w:val="002774E1"/>
    <w:rsid w:val="00286BBD"/>
    <w:rsid w:val="00290F2A"/>
    <w:rsid w:val="00294C39"/>
    <w:rsid w:val="002955F6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3295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97224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5B3E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954EE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4550A"/>
    <w:rsid w:val="00F64E8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B3EE-4E81-4DB0-8F2B-11E462F7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188</cp:revision>
  <cp:lastPrinted>2020-03-17T06:41:00Z</cp:lastPrinted>
  <dcterms:created xsi:type="dcterms:W3CDTF">2019-12-17T13:26:00Z</dcterms:created>
  <dcterms:modified xsi:type="dcterms:W3CDTF">2020-03-17T06:41:00Z</dcterms:modified>
</cp:coreProperties>
</file>