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FF3527" w:rsidP="007C7AEF">
      <w:pPr>
        <w:pStyle w:val="a2"/>
        <w:rPr>
          <w:rtl/>
        </w:rPr>
      </w:pPr>
      <w:r w:rsidRPr="00FF3527">
        <w:rPr>
          <w:rFonts w:hint="cs"/>
          <w:rtl/>
        </w:rPr>
        <w:t>فضیلت</w:t>
      </w:r>
      <w:r w:rsidRPr="00FF3527">
        <w:rPr>
          <w:rtl/>
        </w:rPr>
        <w:t xml:space="preserve"> </w:t>
      </w:r>
      <w:r w:rsidRPr="00FF3527">
        <w:rPr>
          <w:rFonts w:hint="cs"/>
          <w:rtl/>
        </w:rPr>
        <w:t>ماه</w:t>
      </w:r>
      <w:r w:rsidRPr="00FF3527">
        <w:rPr>
          <w:rtl/>
        </w:rPr>
        <w:t xml:space="preserve"> </w:t>
      </w:r>
      <w:r w:rsidRPr="00FF3527">
        <w:rPr>
          <w:rFonts w:hint="cs"/>
          <w:rtl/>
        </w:rPr>
        <w:t>رجب</w:t>
      </w:r>
    </w:p>
    <w:p w:rsidR="00FF3527" w:rsidRPr="00851885" w:rsidRDefault="00FF3527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F453CD" w:rsidRDefault="00672D4C" w:rsidP="00841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841C74">
              <w:rPr>
                <w:rFonts w:asciiTheme="minorBidi" w:hAnsiTheme="minorBidi"/>
                <w:color w:val="06007A"/>
                <w:sz w:val="28"/>
                <w:szCs w:val="28"/>
              </w:rPr>
              <w:t>f-22</w:t>
            </w:r>
            <w:bookmarkStart w:id="0" w:name="_GoBack"/>
            <w:bookmarkEnd w:id="0"/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12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</w:t>
            </w:r>
            <w:r w:rsidR="00127C7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مناسبت‌ها/مناسبت‌های قمری/رجب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27C70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ماه رجب، فضیلت ماه رجب، </w:t>
            </w:r>
            <w:r w:rsidR="00BE7F5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اعمال ماه رجب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6C1EB1" w:rsidRDefault="00F453CD" w:rsidP="00F453CD">
      <w:pPr>
        <w:pStyle w:val="a1"/>
        <w:rPr>
          <w:rtl/>
        </w:rPr>
      </w:pPr>
      <w:r w:rsidRPr="00F453CD">
        <w:rPr>
          <w:rtl/>
        </w:rPr>
        <w:lastRenderedPageBreak/>
        <w:t xml:space="preserve">بدان‌که این ماه و ماه شعبان و ماه رمضان در شرافت، کامل و تمامند و روایات بسیاری در فضیلت آن‌ها وارد شده است، بلکه از رسول خدا(صلی‌الله‌علیه‌وآله) روایت شده است که: </w:t>
      </w:r>
    </w:p>
    <w:p w:rsidR="00F453CD" w:rsidRPr="00F453CD" w:rsidRDefault="00F453CD" w:rsidP="006C1EB1">
      <w:pPr>
        <w:pStyle w:val="a"/>
        <w:rPr>
          <w:rtl/>
        </w:rPr>
      </w:pPr>
      <w:r w:rsidRPr="00F453CD">
        <w:rPr>
          <w:rtl/>
        </w:rPr>
        <w:t xml:space="preserve">رجب ماه بزرگ خدا است و ماهی در احترام و فضیلت به آن نمی‌رسد و در این ماه جنگ با کافران حرام است! و رجب ماه خدا و شعبان ماه من و رمضان ماه امّت من است، کسی که یک روز از ماه رجب را روزه بدارد، مستحقّ خشنودی بزرگ خدا می‌شود و خشم حق از او دور می‌گردد و دری از درهای دوزخ به رویش بسته می‌شود. </w:t>
      </w:r>
    </w:p>
    <w:p w:rsidR="006C1EB1" w:rsidRDefault="00F453CD" w:rsidP="00F453CD">
      <w:pPr>
        <w:pStyle w:val="a1"/>
        <w:rPr>
          <w:rtl/>
        </w:rPr>
      </w:pPr>
      <w:r w:rsidRPr="00F453CD">
        <w:rPr>
          <w:rtl/>
        </w:rPr>
        <w:t xml:space="preserve">و از حضرت موسی‌بن‌جعفر(علیه‌السلام) روایت شده است: </w:t>
      </w:r>
    </w:p>
    <w:p w:rsidR="00F453CD" w:rsidRPr="00F453CD" w:rsidRDefault="00F453CD" w:rsidP="006C1EB1">
      <w:pPr>
        <w:pStyle w:val="a"/>
        <w:rPr>
          <w:rtl/>
        </w:rPr>
      </w:pPr>
      <w:r w:rsidRPr="00F453CD">
        <w:rPr>
          <w:rtl/>
        </w:rPr>
        <w:t>هرکه یک روز از ماه رجب را روزه بدارد، بهشت بر او واجب می‌شود؛ و نیز فرمود: رجب نام نهری است در بهشت که از شیر سپیدتر و از عسل شیرین‌تر است، هرکه یک روز از رجب را روزه بدارد به یقین از آن نهر بیاشامد؛</w:t>
      </w:r>
    </w:p>
    <w:p w:rsidR="006C1EB1" w:rsidRDefault="00F453CD" w:rsidP="00F453CD">
      <w:pPr>
        <w:pStyle w:val="a1"/>
        <w:rPr>
          <w:rtl/>
        </w:rPr>
      </w:pPr>
      <w:r w:rsidRPr="00F453CD">
        <w:rPr>
          <w:rtl/>
        </w:rPr>
        <w:t xml:space="preserve">و از امام صادق(علیه‌السلام) نقل‌شده است: که رسول خدا(صلی‌الله‌علیه‌وآله) فرمود: </w:t>
      </w:r>
    </w:p>
    <w:p w:rsidR="00F453CD" w:rsidRPr="00F453CD" w:rsidRDefault="00F453CD" w:rsidP="006C1EB1">
      <w:pPr>
        <w:pStyle w:val="a"/>
        <w:rPr>
          <w:rtl/>
        </w:rPr>
      </w:pPr>
      <w:r w:rsidRPr="00F453CD">
        <w:rPr>
          <w:rtl/>
        </w:rPr>
        <w:t>ماه رجب ماه استغفار امّت من است، پس در این ماه بسیار طلب آمرزش کنید که خدا آمرزگار و مهربان است و رجب را «اصبّ» [یعنی فروریزنده‌تر] می‌گویند، زیرا رحمت خداوند در این ماه بر امّت من بسیار ریخته می‌شود، پس بسیار بگویید: «أَسْتَغْفِرُ اللّٰه وَأَسْأَلُهُ التَّوْبَةَ»</w:t>
      </w:r>
    </w:p>
    <w:p w:rsidR="006C1EB1" w:rsidRDefault="00F453CD" w:rsidP="00F453CD">
      <w:pPr>
        <w:pStyle w:val="a1"/>
        <w:rPr>
          <w:rtl/>
        </w:rPr>
      </w:pPr>
      <w:r w:rsidRPr="00F453CD">
        <w:rPr>
          <w:rtl/>
        </w:rPr>
        <w:t xml:space="preserve">ابن‌بابویه به سند معتبر از سالم روایت نموده است که گفت: </w:t>
      </w:r>
    </w:p>
    <w:p w:rsidR="00F453CD" w:rsidRDefault="00F453CD" w:rsidP="006C1EB1">
      <w:pPr>
        <w:pStyle w:val="a"/>
        <w:rPr>
          <w:rtl/>
        </w:rPr>
      </w:pPr>
      <w:r w:rsidRPr="00F453CD">
        <w:rPr>
          <w:rtl/>
        </w:rPr>
        <w:t>در اواخر ماه رجب که چند روزی از آن مانده بود به خدمت امام صادق(علیه‌السلام) رفتم. چون نظر مبارک آن حضرت بر من افتاد، فرمود: آیا در این ماه روزه گرفته‌ای؟ گفتم: نه به خدا، ای پسر رسول خدا.</w:t>
      </w:r>
    </w:p>
    <w:p w:rsidR="00F453CD" w:rsidRPr="00F453CD" w:rsidRDefault="00F453CD" w:rsidP="006C1EB1">
      <w:pPr>
        <w:pStyle w:val="a"/>
        <w:rPr>
          <w:rtl/>
        </w:rPr>
      </w:pPr>
      <w:r w:rsidRPr="00F453CD">
        <w:rPr>
          <w:rtl/>
        </w:rPr>
        <w:t>فرمود: آن‌قدر ثواب از تو فوت شده که اندازه آن را جز خدا کسی نمی‌داند، به یقین این ماهی است که خدا آن را بر ماه‌های دیگر فضیلت داده و احترام آن را عظیم نموده و گرامی داشتن روزه‌داران این ماه را بر خود واجب کرده!</w:t>
      </w:r>
    </w:p>
    <w:p w:rsidR="00F453CD" w:rsidRPr="00F453CD" w:rsidRDefault="00F453CD" w:rsidP="006C1EB1">
      <w:pPr>
        <w:pStyle w:val="a"/>
        <w:rPr>
          <w:rtl/>
        </w:rPr>
      </w:pPr>
      <w:r w:rsidRPr="00F453CD">
        <w:rPr>
          <w:rtl/>
        </w:rPr>
        <w:lastRenderedPageBreak/>
        <w:t>گفتم: یابن رسول‌الله، اگر در باقیمانده این ماه روزه بدارم آیا به بخشی از ثواب روزه‌داران آن نائل می‌شوم؟ فرمود: ای سالم هرکه «یک روز» از آخر این ماه را روزه بدارد، خدا او را از سختی سکرات مرگ و از هراس پس از مرگ و از عذاب قبر ایمن می‌کند؛ و هرکه «دو روز» آخر این ماه را روزه بدارد، به آسانی از صراط می‌گذرد و هرکه «سه روز» از آخر این ماه را روزه بدارد از وحشت بزرگ روز قیامت و از سختی‌ها و هول‌های آن روز ایمن می‌شود و براتِ آزادی از آتش دوزخ را به او عطا می‌کنند.</w:t>
      </w:r>
    </w:p>
    <w:p w:rsidR="00F453CD" w:rsidRDefault="00F453CD" w:rsidP="00F453CD">
      <w:pPr>
        <w:pStyle w:val="a1"/>
        <w:rPr>
          <w:rtl/>
        </w:rPr>
      </w:pPr>
      <w:r w:rsidRPr="00F453CD">
        <w:rPr>
          <w:rtl/>
        </w:rPr>
        <w:t>در هر صورت برای روزه ماه رجب فضیلت بسیار وارد شده و در روایت آمده:</w:t>
      </w:r>
    </w:p>
    <w:p w:rsidR="00BE7F5F" w:rsidRDefault="00F453CD" w:rsidP="006C1EB1">
      <w:pPr>
        <w:pStyle w:val="a"/>
        <w:rPr>
          <w:rtl/>
        </w:rPr>
      </w:pPr>
      <w:r w:rsidRPr="00F453CD">
        <w:rPr>
          <w:rtl/>
        </w:rPr>
        <w:t>اگر کسی قدرت بر روزه ماه رجب را ندارد، هر روز این تسبیحات را «صدبار» بخواند تا ثواب روزه ماه رجب را دریابد: سُبْحانَ الْإِلٰهِ الْجَلِيلِ ! سُبْحانَ مَنْ لَايَنْبَغِى التَّسْبِيحُ إِلّا لَهُ ! سُبْحانَ الْأَعَزِّ الْأَكْرَمِ ! سُبْحانَ مَنْ لَبِسَ الْعِزَّ وَهُوَ لَهُ أَهْلٌ. منزّه است خدای بزرگ، منزّه است آن‌که تسبیح جز برای او سزاوار نیست، منزّه است خدای عزیزتر و گرامی‌تر، منزّه است آن‌که جامه عزّت در پوشید که تنها او برای آن جامه شایسته است.</w:t>
      </w:r>
    </w:p>
    <w:p w:rsidR="00BE7F5F" w:rsidRPr="00F453CD" w:rsidRDefault="00BE7F5F" w:rsidP="006C1EB1">
      <w:pPr>
        <w:pStyle w:val="a0"/>
        <w:jc w:val="right"/>
        <w:rPr>
          <w:rtl/>
        </w:rPr>
      </w:pPr>
      <w:r>
        <w:rPr>
          <w:rFonts w:hint="cs"/>
          <w:rtl/>
        </w:rPr>
        <w:t>مفاتیح الجنان</w:t>
      </w:r>
    </w:p>
    <w:sectPr w:rsidR="00BE7F5F" w:rsidRPr="00F453CD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59" w:rsidRDefault="00AC3759" w:rsidP="00982C20">
      <w:pPr>
        <w:spacing w:after="0" w:line="240" w:lineRule="auto"/>
      </w:pPr>
      <w:r>
        <w:separator/>
      </w:r>
    </w:p>
  </w:endnote>
  <w:endnote w:type="continuationSeparator" w:id="0">
    <w:p w:rsidR="00AC3759" w:rsidRDefault="00AC375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59" w:rsidRDefault="00AC3759" w:rsidP="00982C20">
      <w:pPr>
        <w:spacing w:after="0" w:line="240" w:lineRule="auto"/>
      </w:pPr>
      <w:r>
        <w:separator/>
      </w:r>
    </w:p>
  </w:footnote>
  <w:footnote w:type="continuationSeparator" w:id="0">
    <w:p w:rsidR="00AC3759" w:rsidRDefault="00AC375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841C74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C74" w:rsidRDefault="00841C74" w:rsidP="00841C74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841C74" w:rsidRDefault="00841C74" w:rsidP="00841C7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841C74" w:rsidRDefault="00841C74" w:rsidP="00841C74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841C74" w:rsidRDefault="00841C74" w:rsidP="00841C74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841C74" w:rsidRDefault="00841C74" w:rsidP="00841C74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841C74" w:rsidRDefault="00841C74" w:rsidP="00841C74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841C74" w:rsidRDefault="00841C74" w:rsidP="00841C74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841C74" w:rsidRDefault="00841C74" w:rsidP="00841C74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841C74" w:rsidRDefault="00841C74" w:rsidP="00841C74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841C74" w:rsidRDefault="00841C74" w:rsidP="00841C74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841C74" w:rsidRDefault="00841C74" w:rsidP="00841C74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841C74" w:rsidRDefault="00841C74" w:rsidP="00841C74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841C74" w:rsidRDefault="00841C74" w:rsidP="00841C74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841C74" w:rsidRDefault="00841C74" w:rsidP="00841C74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1C74" w:rsidRPr="00841C7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41C74" w:rsidRPr="00841C7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3F21"/>
    <w:rsid w:val="0012459D"/>
    <w:rsid w:val="00127C70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28E6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1EB1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1C74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2B5F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375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E7F5F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5349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4F85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23D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41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453CD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352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E4FBE-23CC-4F9F-8799-663AEF9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EE05-EED9-456E-BAAE-315A4685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424</cp:revision>
  <cp:lastPrinted>2020-02-21T16:32:00Z</cp:lastPrinted>
  <dcterms:created xsi:type="dcterms:W3CDTF">2019-12-17T13:26:00Z</dcterms:created>
  <dcterms:modified xsi:type="dcterms:W3CDTF">2020-03-02T20:36:00Z</dcterms:modified>
</cp:coreProperties>
</file>