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73D1073C" w:rsidR="008C509D" w:rsidRPr="005A04AB" w:rsidRDefault="005A04AB" w:rsidP="005A04AB">
      <w:pPr>
        <w:pStyle w:val="a2"/>
        <w:rPr>
          <w:sz w:val="40"/>
          <w:szCs w:val="40"/>
          <w:rtl/>
        </w:rPr>
      </w:pPr>
      <w:r w:rsidRPr="005A04AB">
        <w:rPr>
          <w:rFonts w:hint="cs"/>
          <w:sz w:val="40"/>
          <w:szCs w:val="40"/>
          <w:rtl/>
        </w:rPr>
        <w:t xml:space="preserve">مثالی از حکومت تضییقیه در ادله ولایت فقیه در کلام شیخ اعظم </w:t>
      </w:r>
      <w:r w:rsidRPr="005A04AB">
        <w:rPr>
          <w:rFonts w:hint="cs"/>
          <w:sz w:val="24"/>
          <w:szCs w:val="24"/>
          <w:rtl/>
        </w:rPr>
        <w:t>(ره)</w:t>
      </w:r>
      <w:r w:rsidRPr="005A04AB">
        <w:rPr>
          <w:rFonts w:hint="cs"/>
          <w:sz w:val="96"/>
          <w:szCs w:val="96"/>
          <w:rtl/>
        </w:rPr>
        <w:t xml:space="preserve"> 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D9715C4" w:rsidR="00677000" w:rsidRPr="00562148" w:rsidRDefault="005A04AB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5A04AB">
              <w:rPr>
                <w:rFonts w:asciiTheme="minorBidi" w:hAnsiTheme="minorBidi"/>
                <w:color w:val="06007A"/>
                <w:sz w:val="28"/>
                <w:szCs w:val="28"/>
              </w:rPr>
              <w:t>e-o-604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A5984F9" w:rsidR="00677000" w:rsidRPr="00A42700" w:rsidRDefault="00447441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اصول/تعارض ادله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8B83081" w:rsidR="00677000" w:rsidRPr="00A42700" w:rsidRDefault="00F0584A" w:rsidP="00E6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A300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اصول/</w:t>
            </w:r>
            <w:r w:rsid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="00B85C8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سطح2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E641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- پژوهشی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E641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رسائل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A300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378E4C8" w:rsidR="006C73B9" w:rsidRPr="00A42700" w:rsidRDefault="004A6EB6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حکومت،</w:t>
            </w:r>
            <w:r w:rsidR="00AB3CC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حکومت تضییقیه، حکومت در ناحیه عقد الوضع،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دلیل حاکم</w:t>
            </w:r>
            <w:r w:rsidR="00F75BB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ولایت فقیه، مکاتبه اسحاق بن یعقوب</w:t>
            </w:r>
            <w:r w:rsidR="00AB3CC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تعارض ادله، تعارض مستقر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3694390D" w:rsidR="00C9158F" w:rsidRPr="00A42700" w:rsidRDefault="00447441" w:rsidP="0044744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اهل البیت علیهم‌السلام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کامپيوتري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اسلامي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(نور)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474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44744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1AD26BCD" w14:textId="48F1B699" w:rsidR="00A30027" w:rsidRPr="00A30027" w:rsidRDefault="00A30027" w:rsidP="00A30027">
      <w:pPr>
        <w:pStyle w:val="a"/>
        <w:rPr>
          <w:rFonts w:hint="cs"/>
          <w:sz w:val="4"/>
          <w:szCs w:val="4"/>
          <w:rtl/>
        </w:rPr>
      </w:pPr>
      <w:r>
        <w:rPr>
          <w:rFonts w:hint="cs"/>
          <w:sz w:val="36"/>
          <w:szCs w:val="36"/>
          <w:rtl/>
        </w:rPr>
        <w:t>«</w:t>
      </w:r>
      <w:r w:rsidRPr="00A30027">
        <w:rPr>
          <w:rFonts w:hint="cs"/>
          <w:sz w:val="36"/>
          <w:szCs w:val="36"/>
          <w:rtl/>
        </w:rPr>
        <w:t>ثمّ إنّ النسبة بين مثل هذا التوقيع و بين العمومات الظاهرة في إذن الشارع في كلّ معروف لكلّ أحد، مثل قوله عليه السلام: «كلّ معروف صدقة» و قوله عليه السلام: «عون الضعيف من أفضل الصدقة» و أمثال ذلك و إن كانت عموماً من وجه، إلّا أنّ الظاهر حكومة هذا التوقيع عليها و كونها بمنزلة المفسّر الدالّ على وجوب الرجوع إلى الإمام عليه السلام أو نائبه في الأُمور العامّة التي يفهم عرف</w:t>
      </w:r>
      <w:r w:rsidR="00DC3532">
        <w:rPr>
          <w:rFonts w:hint="cs"/>
          <w:sz w:val="36"/>
          <w:szCs w:val="36"/>
          <w:rtl/>
        </w:rPr>
        <w:t>اً دخولها تحت «الحوادث الواقعة»</w:t>
      </w:r>
      <w:r w:rsidRPr="00A30027">
        <w:rPr>
          <w:rFonts w:hint="cs"/>
          <w:sz w:val="36"/>
          <w:szCs w:val="36"/>
          <w:rtl/>
        </w:rPr>
        <w:t xml:space="preserve"> و تحت عنوان «الأمر» في قوله</w:t>
      </w:r>
      <w:r w:rsidR="006A48F9">
        <w:rPr>
          <w:rFonts w:hint="cs"/>
          <w:sz w:val="36"/>
          <w:szCs w:val="36"/>
          <w:rtl/>
        </w:rPr>
        <w:t xml:space="preserve"> </w:t>
      </w:r>
      <w:r>
        <w:rPr>
          <w:rFonts w:cs="me_quran" w:hint="cs"/>
          <w:color w:val="008000"/>
          <w:sz w:val="28"/>
          <w:szCs w:val="28"/>
          <w:rtl/>
        </w:rPr>
        <w:t xml:space="preserve">  «</w:t>
      </w:r>
      <w:r w:rsidRPr="00A30027">
        <w:rPr>
          <w:rFonts w:cs="me_quran" w:hint="cs"/>
          <w:color w:val="008000"/>
          <w:sz w:val="28"/>
          <w:szCs w:val="28"/>
          <w:rtl/>
        </w:rPr>
        <w:t xml:space="preserve"> </w:t>
      </w:r>
      <w:r w:rsidRPr="00A30027">
        <w:rPr>
          <w:rFonts w:hint="cs"/>
          <w:sz w:val="36"/>
          <w:szCs w:val="36"/>
          <w:rtl/>
        </w:rPr>
        <w:t>أُولِي الْأَمْرِ</w:t>
      </w:r>
      <w:r w:rsidR="006A48F9">
        <w:rPr>
          <w:rStyle w:val="FootnoteReference"/>
          <w:sz w:val="36"/>
          <w:szCs w:val="36"/>
          <w:rtl/>
        </w:rPr>
        <w:footnoteReference w:id="1"/>
      </w:r>
      <w:r>
        <w:rPr>
          <w:rFonts w:hint="cs"/>
          <w:sz w:val="36"/>
          <w:szCs w:val="36"/>
          <w:rtl/>
        </w:rPr>
        <w:t>»</w:t>
      </w:r>
      <w:r w:rsidRPr="00A30027">
        <w:rPr>
          <w:rFonts w:hint="cs"/>
          <w:sz w:val="36"/>
          <w:szCs w:val="36"/>
          <w:rtl/>
        </w:rPr>
        <w:t xml:space="preserve"> و على تسليم التنزّل عن ذلك، فالمرجع بعد تعارض العمومين إلى أصالة عدم مشروعيّة ذلك المعرو</w:t>
      </w:r>
      <w:r>
        <w:rPr>
          <w:rFonts w:hint="cs"/>
          <w:sz w:val="36"/>
          <w:szCs w:val="36"/>
          <w:rtl/>
        </w:rPr>
        <w:t>ف مع عدم وقوعه عن رأي وليّ الأمر</w:t>
      </w:r>
      <w:r w:rsidR="00482862">
        <w:rPr>
          <w:rStyle w:val="FootnoteReference"/>
          <w:sz w:val="36"/>
          <w:szCs w:val="36"/>
          <w:rtl/>
        </w:rPr>
        <w:footnoteReference w:id="2"/>
      </w:r>
      <w:r>
        <w:rPr>
          <w:rFonts w:hint="cs"/>
          <w:sz w:val="36"/>
          <w:szCs w:val="36"/>
          <w:rtl/>
        </w:rPr>
        <w:t>»</w:t>
      </w:r>
    </w:p>
    <w:p w14:paraId="0F33DF47" w14:textId="77777777" w:rsidR="00C136E4" w:rsidRDefault="00C136E4" w:rsidP="00D222A7">
      <w:pPr>
        <w:pStyle w:val="a1"/>
        <w:rPr>
          <w:rtl/>
        </w:rPr>
      </w:pPr>
    </w:p>
    <w:p w14:paraId="433F1327" w14:textId="06671B93" w:rsidR="00A30027" w:rsidRDefault="00D222A7" w:rsidP="00D222A7">
      <w:pPr>
        <w:pStyle w:val="a1"/>
        <w:rPr>
          <w:rFonts w:hint="cs"/>
          <w:rtl/>
        </w:rPr>
      </w:pPr>
      <w:r>
        <w:rPr>
          <w:rFonts w:hint="cs"/>
          <w:rtl/>
        </w:rPr>
        <w:t>لایذهب علیک أن الخبر لایکون حاکما إلا إذا کان فارغا عن الحکم حتی یکون ناظرا إلی حکم مذکور في دلیل آخر و لایعارض غیره</w:t>
      </w:r>
      <w:r w:rsidR="00DC3532">
        <w:rPr>
          <w:rFonts w:hint="cs"/>
          <w:rtl/>
        </w:rPr>
        <w:t xml:space="preserve"> </w:t>
      </w:r>
      <w:r w:rsidR="00DC3532">
        <w:rPr>
          <w:rtl/>
        </w:rPr>
        <w:t>–</w:t>
      </w:r>
      <w:r w:rsidR="00DC3532">
        <w:rPr>
          <w:rFonts w:hint="cs"/>
          <w:rtl/>
        </w:rPr>
        <w:t>بدوياً أو مستقرّاً کما في المقام-</w:t>
      </w:r>
      <w:r>
        <w:rPr>
          <w:rFonts w:hint="cs"/>
          <w:rtl/>
        </w:rPr>
        <w:t xml:space="preserve"> إلا إذا کان حاویا للحکم فالجمع بین الاحتمالین فی کلامه هنا </w:t>
      </w:r>
      <w:r>
        <w:rPr>
          <w:rtl/>
        </w:rPr>
        <w:t>–</w:t>
      </w:r>
      <w:r>
        <w:rPr>
          <w:rFonts w:hint="cs"/>
          <w:rtl/>
        </w:rPr>
        <w:t xml:space="preserve"> و في بالي وقوع مثله عنه رضي‌الله‌عنه في غیر المقام أيضاً- مما یحوج إلی التوجیه</w:t>
      </w:r>
      <w:r w:rsidR="006D2746">
        <w:rPr>
          <w:rFonts w:hint="cs"/>
          <w:rtl/>
        </w:rPr>
        <w:t xml:space="preserve"> و لعلً التسلیم المذکور في کلامه ناظر إلی تأت</w:t>
      </w:r>
      <w:r w:rsidR="00AB3CC1">
        <w:rPr>
          <w:rFonts w:hint="cs"/>
          <w:rtl/>
        </w:rPr>
        <w:t>ّ</w:t>
      </w:r>
      <w:r w:rsidR="006D2746">
        <w:rPr>
          <w:rFonts w:hint="cs"/>
          <w:rtl/>
        </w:rPr>
        <w:t>ي استظهارين اثنين من الخبر من کون الأمر بالرجوع مولوياً أو إرشادياً</w:t>
      </w:r>
      <w:r w:rsidR="007362F3">
        <w:rPr>
          <w:rFonts w:hint="cs"/>
          <w:rtl/>
        </w:rPr>
        <w:t xml:space="preserve"> و یکون هذا هو التوجيه.</w:t>
      </w:r>
    </w:p>
    <w:p w14:paraId="46CC8EF3" w14:textId="3AD9361B" w:rsidR="007362F3" w:rsidRPr="00A30027" w:rsidRDefault="007362F3" w:rsidP="007362F3">
      <w:pPr>
        <w:pStyle w:val="a1"/>
      </w:pPr>
      <w:r>
        <w:rPr>
          <w:rFonts w:hint="cs"/>
          <w:rtl/>
        </w:rPr>
        <w:t>ثم قد ت</w:t>
      </w:r>
      <w:r w:rsidR="00F75BBB">
        <w:rPr>
          <w:rFonts w:hint="cs"/>
          <w:rtl/>
        </w:rPr>
        <w:t>بی</w:t>
      </w:r>
      <w:r>
        <w:rPr>
          <w:rFonts w:hint="cs"/>
          <w:rtl/>
        </w:rPr>
        <w:t>ن لک أن قول المولی «الفاسق لیس بعالم» و «اجعل الفاسق عندک جاهلا» و مثلهما سواء في کونهنّ حاکمات علی خطاب</w:t>
      </w:r>
      <w:r w:rsidR="00272028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272028">
        <w:rPr>
          <w:rFonts w:hint="cs"/>
          <w:rtl/>
        </w:rPr>
        <w:t>«</w:t>
      </w:r>
      <w:r>
        <w:rPr>
          <w:rFonts w:hint="cs"/>
          <w:rtl/>
        </w:rPr>
        <w:t>أکرم العلماء</w:t>
      </w:r>
      <w:r w:rsidR="00272028">
        <w:rPr>
          <w:rFonts w:hint="cs"/>
          <w:rtl/>
        </w:rPr>
        <w:t>»</w:t>
      </w:r>
      <w:r>
        <w:rPr>
          <w:rFonts w:hint="cs"/>
          <w:rtl/>
        </w:rPr>
        <w:t xml:space="preserve"> أي لا فرق بین اشتمال الدلیل الحاکم علی طلب و فقده</w:t>
      </w:r>
      <w:r w:rsidR="00F75BBB">
        <w:rPr>
          <w:rFonts w:hint="cs"/>
          <w:rtl/>
        </w:rPr>
        <w:t xml:space="preserve"> بعد کون الطلب غیرتأسيس لحکم</w:t>
      </w:r>
      <w:r w:rsidR="00030D5C">
        <w:rPr>
          <w:rFonts w:hint="cs"/>
          <w:rtl/>
        </w:rPr>
        <w:t xml:space="preserve"> جدید أو فقل بعد کونه مؤسّس حکم ناظر إلی حکم غیره</w:t>
      </w:r>
      <w:r>
        <w:rPr>
          <w:rFonts w:hint="cs"/>
          <w:rtl/>
        </w:rPr>
        <w:t>.</w:t>
      </w:r>
    </w:p>
    <w:p w14:paraId="0ADBF065" w14:textId="74A1E8C9" w:rsidR="00E33A7F" w:rsidRDefault="00DC3532" w:rsidP="0063101F">
      <w:pPr>
        <w:pStyle w:val="a1"/>
        <w:rPr>
          <w:rFonts w:hint="cs"/>
          <w:rtl/>
        </w:rPr>
      </w:pPr>
      <w:r>
        <w:rPr>
          <w:rFonts w:hint="cs"/>
          <w:rtl/>
        </w:rPr>
        <w:t>و الحاصل في المنقول</w:t>
      </w:r>
      <w:r w:rsidR="00AB3CC1">
        <w:rPr>
          <w:rFonts w:hint="cs"/>
          <w:rtl/>
        </w:rPr>
        <w:t xml:space="preserve"> ههنا</w:t>
      </w:r>
      <w:r>
        <w:rPr>
          <w:rFonts w:hint="cs"/>
          <w:rtl/>
        </w:rPr>
        <w:t xml:space="preserve"> من کتاب المکاسب</w:t>
      </w:r>
      <w:r w:rsidR="0063101F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بناءاً علی الاستظهار المقدم عند الشیخ قدس‌سرّه- </w:t>
      </w:r>
      <w:r w:rsidR="00AB3CC1">
        <w:rPr>
          <w:rFonts w:hint="cs"/>
          <w:rtl/>
        </w:rPr>
        <w:t xml:space="preserve">أن </w:t>
      </w:r>
      <w:r>
        <w:rPr>
          <w:rFonts w:hint="cs"/>
          <w:rtl/>
        </w:rPr>
        <w:t xml:space="preserve">معنی الآية من النساء </w:t>
      </w:r>
      <w:r w:rsidR="0063101F">
        <w:rPr>
          <w:rFonts w:hint="cs"/>
          <w:rtl/>
        </w:rPr>
        <w:t>«</w:t>
      </w:r>
      <w:r w:rsidR="00AB3CC1">
        <w:rPr>
          <w:rFonts w:hint="cs"/>
          <w:rtl/>
        </w:rPr>
        <w:t>ليس ما یجب فیه الرجوع إلی أولیاء الأمر معروفاً لغیره</w:t>
      </w:r>
      <w:r w:rsidR="001513BF">
        <w:rPr>
          <w:rFonts w:hint="cs"/>
          <w:rtl/>
        </w:rPr>
        <w:t>م</w:t>
      </w:r>
      <w:r w:rsidR="0063101F">
        <w:rPr>
          <w:rFonts w:hint="cs"/>
          <w:rtl/>
        </w:rPr>
        <w:t xml:space="preserve">» دلالة التزاميةً و کذا الکلام في </w:t>
      </w:r>
      <w:r w:rsidR="0063101F">
        <w:rPr>
          <w:rFonts w:hint="cs"/>
          <w:rtl/>
        </w:rPr>
        <w:t>دلالة الخبر</w:t>
      </w:r>
      <w:r w:rsidR="0063101F">
        <w:rPr>
          <w:rFonts w:hint="cs"/>
          <w:rtl/>
        </w:rPr>
        <w:t xml:space="preserve"> أعنی «الحوادث الواقعة لیست من المعروف إذا استبد غیر الفقيه بتولیها»</w:t>
      </w:r>
      <w:r w:rsidR="001513BF">
        <w:rPr>
          <w:rFonts w:hint="cs"/>
          <w:rtl/>
        </w:rPr>
        <w:t>؛ فتأمّل.</w:t>
      </w:r>
    </w:p>
    <w:p w14:paraId="2EB86FB3" w14:textId="095F7222" w:rsidR="001513BF" w:rsidRPr="00E33A7F" w:rsidRDefault="001513BF" w:rsidP="00C136E4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ثم المنفي عنوان المعروف کما آثرنا في التعبیر أو فقل الصدقة لکونها مدرجة </w:t>
      </w:r>
      <w:r w:rsidR="00C136E4">
        <w:rPr>
          <w:rFonts w:hint="cs"/>
          <w:rtl/>
        </w:rPr>
        <w:t>إ</w:t>
      </w:r>
      <w:bookmarkStart w:id="0" w:name="_GoBack"/>
      <w:bookmarkEnd w:id="0"/>
      <w:r>
        <w:rPr>
          <w:rFonts w:hint="cs"/>
          <w:rtl/>
        </w:rPr>
        <w:t>لی الحکم و لیس به فیعد التضییق في ناحية عقد الوضع لا الحمل و هو «مشروع لکل أحد» و یقربک إلیه قبح نفي المشروعية من المعروف الصدقة.</w:t>
      </w:r>
    </w:p>
    <w:sectPr w:rsidR="001513B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2C9A" w14:textId="77777777" w:rsidR="0063508F" w:rsidRDefault="0063508F" w:rsidP="00982C20">
      <w:pPr>
        <w:spacing w:after="0" w:line="240" w:lineRule="auto"/>
      </w:pPr>
      <w:r>
        <w:separator/>
      </w:r>
    </w:p>
  </w:endnote>
  <w:endnote w:type="continuationSeparator" w:id="0">
    <w:p w14:paraId="20B2EB9F" w14:textId="77777777" w:rsidR="0063508F" w:rsidRDefault="0063508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me_quran">
    <w:panose1 w:val="02060603050605020204"/>
    <w:charset w:val="B2"/>
    <w:family w:val="roman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1EE8A" w14:textId="77777777" w:rsidR="0063508F" w:rsidRDefault="0063508F" w:rsidP="00982C20">
      <w:pPr>
        <w:spacing w:after="0" w:line="240" w:lineRule="auto"/>
      </w:pPr>
      <w:r>
        <w:separator/>
      </w:r>
    </w:p>
  </w:footnote>
  <w:footnote w:type="continuationSeparator" w:id="0">
    <w:p w14:paraId="7E823EF8" w14:textId="77777777" w:rsidR="0063508F" w:rsidRDefault="0063508F" w:rsidP="00982C20">
      <w:pPr>
        <w:spacing w:after="0" w:line="240" w:lineRule="auto"/>
      </w:pPr>
      <w:r>
        <w:continuationSeparator/>
      </w:r>
    </w:p>
  </w:footnote>
  <w:footnote w:id="1">
    <w:p w14:paraId="1D25EF53" w14:textId="7FE72794" w:rsidR="006A48F9" w:rsidRPr="00482862" w:rsidRDefault="006A48F9" w:rsidP="00482862">
      <w:pPr>
        <w:pStyle w:val="a0"/>
      </w:pPr>
      <w:r w:rsidRPr="00482862">
        <w:rPr>
          <w:rStyle w:val="FootnoteReference"/>
          <w:vertAlign w:val="baseline"/>
        </w:rPr>
        <w:footnoteRef/>
      </w:r>
      <w:r w:rsidRPr="00482862">
        <w:rPr>
          <w:rFonts w:hint="cs"/>
          <w:rtl/>
        </w:rPr>
        <w:t>. النساء؛ 59.</w:t>
      </w:r>
    </w:p>
  </w:footnote>
  <w:footnote w:id="2">
    <w:p w14:paraId="6F58C66A" w14:textId="3302D0A0" w:rsidR="00482862" w:rsidRDefault="00482862" w:rsidP="00482862">
      <w:pPr>
        <w:pStyle w:val="a0"/>
        <w:rPr>
          <w:rFonts w:hint="cs"/>
          <w:rtl/>
        </w:rPr>
      </w:pPr>
      <w:r w:rsidRPr="00482862">
        <w:rPr>
          <w:rStyle w:val="FootnoteReference"/>
          <w:vertAlign w:val="baseline"/>
        </w:rPr>
        <w:footnoteRef/>
      </w:r>
      <w:r w:rsidRPr="00482862">
        <w:rPr>
          <w:rFonts w:hint="cs"/>
          <w:rtl/>
        </w:rPr>
        <w:t>. كتاب</w:t>
      </w:r>
      <w:r w:rsidRPr="00482862">
        <w:rPr>
          <w:rtl/>
        </w:rPr>
        <w:t xml:space="preserve"> </w:t>
      </w:r>
      <w:r w:rsidRPr="00482862">
        <w:rPr>
          <w:rFonts w:hint="cs"/>
          <w:rtl/>
        </w:rPr>
        <w:t>المكاسب</w:t>
      </w:r>
      <w:r w:rsidRPr="00482862">
        <w:rPr>
          <w:rtl/>
        </w:rPr>
        <w:t xml:space="preserve"> (</w:t>
      </w:r>
      <w:r w:rsidRPr="00482862">
        <w:rPr>
          <w:rFonts w:hint="cs"/>
          <w:rtl/>
        </w:rPr>
        <w:t>للشيخ</w:t>
      </w:r>
      <w:r w:rsidRPr="00482862">
        <w:rPr>
          <w:rtl/>
        </w:rPr>
        <w:t xml:space="preserve"> </w:t>
      </w:r>
      <w:r w:rsidRPr="00482862">
        <w:rPr>
          <w:rFonts w:hint="cs"/>
          <w:rtl/>
        </w:rPr>
        <w:t>الأنصاري،</w:t>
      </w:r>
      <w:r w:rsidRPr="00482862">
        <w:rPr>
          <w:rtl/>
        </w:rPr>
        <w:t xml:space="preserve"> </w:t>
      </w:r>
      <w:r w:rsidRPr="00482862">
        <w:rPr>
          <w:rFonts w:hint="cs"/>
          <w:rtl/>
        </w:rPr>
        <w:t>ط</w:t>
      </w:r>
      <w:r w:rsidRPr="00482862">
        <w:rPr>
          <w:rtl/>
        </w:rPr>
        <w:t xml:space="preserve"> - </w:t>
      </w:r>
      <w:r w:rsidRPr="00482862">
        <w:rPr>
          <w:rFonts w:hint="cs"/>
          <w:rtl/>
        </w:rPr>
        <w:t>الحديثة</w:t>
      </w:r>
      <w:r w:rsidRPr="00482862">
        <w:rPr>
          <w:rtl/>
        </w:rPr>
        <w:t>)</w:t>
      </w:r>
      <w:r w:rsidRPr="00482862">
        <w:rPr>
          <w:rFonts w:hint="cs"/>
          <w:rtl/>
        </w:rPr>
        <w:t>،</w:t>
      </w:r>
      <w:r w:rsidRPr="00482862">
        <w:rPr>
          <w:rtl/>
        </w:rPr>
        <w:t xml:space="preserve"> </w:t>
      </w:r>
      <w:r w:rsidRPr="00482862">
        <w:rPr>
          <w:rFonts w:hint="cs"/>
          <w:rtl/>
        </w:rPr>
        <w:t>ج‌</w:t>
      </w:r>
      <w:r w:rsidRPr="00482862">
        <w:rPr>
          <w:rtl/>
        </w:rPr>
        <w:t>3</w:t>
      </w:r>
      <w:r w:rsidRPr="00482862">
        <w:rPr>
          <w:rFonts w:hint="cs"/>
          <w:rtl/>
        </w:rPr>
        <w:t>،</w:t>
      </w:r>
      <w:r w:rsidRPr="00482862">
        <w:rPr>
          <w:rtl/>
        </w:rPr>
        <w:t xml:space="preserve"> </w:t>
      </w:r>
      <w:r w:rsidRPr="00482862">
        <w:rPr>
          <w:rFonts w:hint="cs"/>
          <w:rtl/>
        </w:rPr>
        <w:t>ص</w:t>
      </w:r>
      <w:r w:rsidRPr="00482862">
        <w:rPr>
          <w:rtl/>
        </w:rPr>
        <w:t>: 55</w:t>
      </w:r>
      <w:r w:rsidRPr="00482862">
        <w:rPr>
          <w:rFonts w:hint="cs"/>
          <w:rtl/>
        </w:rPr>
        <w:t>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6E4" w:rsidRPr="00C136E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136E4" w:rsidRPr="00C136E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0D5C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13BF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2028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21F0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47441"/>
    <w:rsid w:val="004520E9"/>
    <w:rsid w:val="00462034"/>
    <w:rsid w:val="00462AFA"/>
    <w:rsid w:val="0047161A"/>
    <w:rsid w:val="0047600B"/>
    <w:rsid w:val="00477B04"/>
    <w:rsid w:val="00482862"/>
    <w:rsid w:val="004862E8"/>
    <w:rsid w:val="004930F2"/>
    <w:rsid w:val="00494066"/>
    <w:rsid w:val="00495E08"/>
    <w:rsid w:val="0049774C"/>
    <w:rsid w:val="004A0465"/>
    <w:rsid w:val="004A4FF5"/>
    <w:rsid w:val="004A5EAE"/>
    <w:rsid w:val="004A6EB6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04AB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01F"/>
    <w:rsid w:val="00631E7F"/>
    <w:rsid w:val="0063508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A48F9"/>
    <w:rsid w:val="006B668B"/>
    <w:rsid w:val="006C5F81"/>
    <w:rsid w:val="006C73B9"/>
    <w:rsid w:val="006D2746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362F3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30027"/>
    <w:rsid w:val="00A42700"/>
    <w:rsid w:val="00A4786A"/>
    <w:rsid w:val="00A62627"/>
    <w:rsid w:val="00A659D3"/>
    <w:rsid w:val="00A6684F"/>
    <w:rsid w:val="00A721AA"/>
    <w:rsid w:val="00A74C46"/>
    <w:rsid w:val="00A901C0"/>
    <w:rsid w:val="00AB3CC1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5C8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136E4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222A7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3532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4197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5BBB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0AEC376C-99FA-4177-8DFF-A4CAAB13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B8A1-AAA9-4DE5-BD5A-C224F90E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188</cp:revision>
  <cp:lastPrinted>2020-02-22T11:18:00Z</cp:lastPrinted>
  <dcterms:created xsi:type="dcterms:W3CDTF">2019-12-17T13:26:00Z</dcterms:created>
  <dcterms:modified xsi:type="dcterms:W3CDTF">2022-12-12T21:27:00Z</dcterms:modified>
</cp:coreProperties>
</file>