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4F6DF594" w:rsidR="008C509D" w:rsidRDefault="00C27BFE" w:rsidP="00F0584A">
      <w:pPr>
        <w:pStyle w:val="a2"/>
        <w:rPr>
          <w:rtl/>
        </w:rPr>
      </w:pPr>
      <w:r>
        <w:rPr>
          <w:rFonts w:hint="cs"/>
          <w:rtl/>
        </w:rPr>
        <w:t>مجموعه انظار شارحین رسائل در تبیین اولویت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0668DEF" w:rsidR="00677000" w:rsidRPr="00562148" w:rsidRDefault="0059199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e-o-270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09F8672B" w:rsidR="00677000" w:rsidRPr="00A42700" w:rsidRDefault="00C27BFE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اصول/خبر واحد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4B4A42EF" w:rsidR="00677000" w:rsidRPr="00A42700" w:rsidRDefault="00F0584A" w:rsidP="00C2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C27BF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 اصول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C27BF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 سطح دو/تدریس ترتیبی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C27BF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قطع/نقل قول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1D6D57C3" w:rsidR="006C73B9" w:rsidRPr="00A42700" w:rsidRDefault="006C73B9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5BD9F3B5" w14:textId="77777777" w:rsidR="00C9158F" w:rsidRPr="00591990" w:rsidRDefault="00C27BFE" w:rsidP="00591990">
            <w:pPr>
              <w:pStyle w:val="ListParagraph"/>
              <w:numPr>
                <w:ilvl w:val="0"/>
                <w:numId w:val="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</w:pPr>
            <w:bookmarkStart w:id="0" w:name="_GoBack"/>
            <w:r w:rsidRPr="0059199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 محتوا، صرفاً جمع‌آوری انظار شراحین رسائل است در مراد از «الاولوية» که در فرائد</w:t>
            </w:r>
            <w:r w:rsidRPr="0059199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9199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الأصول،</w:t>
            </w:r>
            <w:r w:rsidRPr="0059199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9199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ج‏</w:t>
            </w:r>
            <w:r w:rsidRPr="0059199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1</w:t>
            </w:r>
            <w:r w:rsidRPr="0059199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Pr="0059199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9199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</w:t>
            </w:r>
            <w:r w:rsidRPr="0059199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: 27</w:t>
            </w:r>
            <w:r w:rsidRPr="0059199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0 وارد شده است.</w:t>
            </w:r>
          </w:p>
          <w:p w14:paraId="38B84469" w14:textId="04C3E816" w:rsidR="00C27BFE" w:rsidRPr="00591990" w:rsidRDefault="00C27BFE" w:rsidP="00591990">
            <w:pPr>
              <w:pStyle w:val="ListParagraph"/>
              <w:numPr>
                <w:ilvl w:val="0"/>
                <w:numId w:val="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59199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 تولید این فایل از نرم‌افزار کتابخانه اصول فقه متعلق به مرکز</w:t>
            </w:r>
            <w:r w:rsidRPr="0059199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9199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Pr="0059199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9199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کامپيوتری</w:t>
            </w:r>
            <w:r w:rsidRPr="0059199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9199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59199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9199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اسلامی (نور) استفاده شده است.</w:t>
            </w:r>
            <w:bookmarkEnd w:id="0"/>
          </w:p>
        </w:tc>
      </w:tr>
    </w:tbl>
    <w:p w14:paraId="7FD68E43" w14:textId="536744A2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60B5ABA0" w14:textId="77777777" w:rsidR="00C27BFE" w:rsidRPr="00C27BFE" w:rsidRDefault="00C27BFE" w:rsidP="00C27BFE">
      <w:pPr>
        <w:pStyle w:val="a1"/>
        <w:numPr>
          <w:ilvl w:val="0"/>
          <w:numId w:val="3"/>
        </w:numPr>
        <w:rPr>
          <w:color w:val="002060"/>
        </w:rPr>
      </w:pPr>
      <w:r w:rsidRPr="00C27BFE">
        <w:rPr>
          <w:rFonts w:hint="cs"/>
          <w:b/>
          <w:bCs/>
          <w:color w:val="002060"/>
          <w:rtl/>
        </w:rPr>
        <w:lastRenderedPageBreak/>
        <w:t>الوصائل الى الرسائل ؛ ج‏3 ؛ ص301</w:t>
      </w:r>
    </w:p>
    <w:p w14:paraId="3485F42A" w14:textId="77777777" w:rsidR="00C27BFE" w:rsidRPr="00C27BFE" w:rsidRDefault="00C27BFE" w:rsidP="00C27BFE">
      <w:pPr>
        <w:pStyle w:val="a1"/>
        <w:rPr>
          <w:rFonts w:hint="cs"/>
          <w:color w:val="auto"/>
          <w:rtl/>
        </w:rPr>
      </w:pPr>
      <w:r w:rsidRPr="00C27BFE">
        <w:rPr>
          <w:rFonts w:hint="cs"/>
          <w:color w:val="auto"/>
          <w:rtl/>
        </w:rPr>
        <w:t>(الأولويّة) فانه إذا جعل الشارع خبر الواحد حجّة في الموضوعات، و هي أهم من الأحكام لزم ان يجعل خبر الواحد حجّة في الأحكام لانها أقل أهمية من الموضوعات.</w:t>
      </w:r>
    </w:p>
    <w:p w14:paraId="11F4BD56" w14:textId="77777777" w:rsidR="00C27BFE" w:rsidRPr="00C27BFE" w:rsidRDefault="00C27BFE" w:rsidP="00C27BFE">
      <w:pPr>
        <w:pStyle w:val="a1"/>
        <w:rPr>
          <w:rFonts w:hint="cs"/>
          <w:color w:val="auto"/>
          <w:rtl/>
        </w:rPr>
      </w:pPr>
      <w:r w:rsidRPr="00C27BFE">
        <w:rPr>
          <w:rFonts w:hint="cs"/>
          <w:color w:val="auto"/>
          <w:rtl/>
        </w:rPr>
        <w:t>و إنما كانت الموضوعات أهم لتوفير الدواعي في إخفاء الموضوعات، كما في باب الشهادة حيث انّ بعض الناس يريدون أكل أموال الناس بالباطل، و غصب نسائهم، و إراقة دمائهم، و ما الى ذلك.</w:t>
      </w:r>
    </w:p>
    <w:p w14:paraId="75104A0E" w14:textId="77777777" w:rsidR="00C27BFE" w:rsidRPr="00C27BFE" w:rsidRDefault="00C27BFE" w:rsidP="00C27BFE">
      <w:pPr>
        <w:pStyle w:val="a1"/>
        <w:rPr>
          <w:rFonts w:hint="cs"/>
          <w:color w:val="auto"/>
          <w:rtl/>
        </w:rPr>
      </w:pPr>
      <w:r w:rsidRPr="00C27BFE">
        <w:rPr>
          <w:rFonts w:hint="cs"/>
          <w:color w:val="auto"/>
          <w:rtl/>
        </w:rPr>
        <w:t>و لهذا لم يقبل الشارع شهادة الواحد في الموضوعات و ان قبلها في الاحكام، فخبر زرارة- مثلا- حجّة في نقله عن الامام الصادق عليه السّلام انّ صلاة الجمعة واجبة و ليس قول زرارة حجّة فيما إذا شهد: بأنّ الدار لزيد في مقام المنازعات.</w:t>
      </w:r>
    </w:p>
    <w:p w14:paraId="0CF5F5AC" w14:textId="77777777" w:rsidR="00C27BFE" w:rsidRPr="00C27BFE" w:rsidRDefault="00C27BFE" w:rsidP="00C27BFE">
      <w:pPr>
        <w:pStyle w:val="a1"/>
        <w:rPr>
          <w:color w:val="auto"/>
          <w:rtl/>
        </w:rPr>
      </w:pPr>
      <w:r w:rsidRPr="00C27BFE">
        <w:rPr>
          <w:rFonts w:hint="cs"/>
          <w:color w:val="auto"/>
          <w:rtl/>
        </w:rPr>
        <w:t>و الحاصل: انّ الموضوعات أهم، فاذا قبل الواحد فيها بشرط عدد آخر، أو بدون شرط الآخر، كان جعل الشارع الواحد حجّة في الأحكام بطريق أولى.</w:t>
      </w:r>
      <w:r w:rsidRPr="00C27BFE">
        <w:rPr>
          <w:color w:val="auto"/>
          <w:vertAlign w:val="superscript"/>
          <w:rtl/>
        </w:rPr>
        <w:footnoteReference w:id="1"/>
      </w:r>
    </w:p>
    <w:p w14:paraId="52DE8141" w14:textId="77777777" w:rsidR="00C27BFE" w:rsidRPr="00C27BFE" w:rsidRDefault="00C27BFE" w:rsidP="00C27BFE">
      <w:pPr>
        <w:pStyle w:val="a1"/>
        <w:numPr>
          <w:ilvl w:val="0"/>
          <w:numId w:val="3"/>
        </w:numPr>
        <w:rPr>
          <w:color w:val="002060"/>
        </w:rPr>
      </w:pPr>
      <w:r w:rsidRPr="00C27BFE">
        <w:rPr>
          <w:rFonts w:hint="cs"/>
          <w:b/>
          <w:bCs/>
          <w:color w:val="002060"/>
          <w:rtl/>
        </w:rPr>
        <w:t>قلائد الفرائد ؛ ج‏1 ؛ ص175</w:t>
      </w:r>
    </w:p>
    <w:p w14:paraId="3D11762D" w14:textId="77777777" w:rsidR="00C27BFE" w:rsidRPr="00C27BFE" w:rsidRDefault="00C27BFE" w:rsidP="00C27BFE">
      <w:pPr>
        <w:pStyle w:val="a1"/>
        <w:rPr>
          <w:rFonts w:hint="cs"/>
          <w:color w:val="auto"/>
          <w:rtl/>
        </w:rPr>
      </w:pPr>
      <w:r w:rsidRPr="00C27BFE">
        <w:rPr>
          <w:rFonts w:hint="cs"/>
          <w:color w:val="auto"/>
          <w:rtl/>
        </w:rPr>
        <w:t>أقول: و ذلك لأنّ باب العلم في الموضوعات مفتوح غالبا، و هذا بخلاف الأحكام، و إذا جعل الشارع خبر الواحد في الأوّل حجّة مع امكان تحصيل العلم فيه بسهولة، فجعله حجّة في الثاني لا بدّ أن يكون بطريق أولى.</w:t>
      </w:r>
    </w:p>
    <w:p w14:paraId="61EF74D6" w14:textId="77777777" w:rsidR="00C27BFE" w:rsidRPr="00C27BFE" w:rsidRDefault="00C27BFE" w:rsidP="00C27BFE">
      <w:pPr>
        <w:pStyle w:val="a1"/>
        <w:rPr>
          <w:color w:val="auto"/>
          <w:rtl/>
        </w:rPr>
      </w:pPr>
      <w:r w:rsidRPr="00C27BFE">
        <w:rPr>
          <w:rFonts w:hint="cs"/>
          <w:color w:val="auto"/>
          <w:rtl/>
        </w:rPr>
        <w:t>و يمكن تقرير منشأ الأولويّة بوجه آخر: و هو أنّ اهتمام الشارع في الأحكام أزيد من اهتمامه في الموضوعات؛ كما يشهد بذلك تجويز جريان الأصل بعد الفحص في الأوّل، و في الثاني قبله؛ فلذا جعل الشارع خبر الواحد طريقا في تعيين الموضوعات و لم يحكم بالرجوع إلى الاصول مع عدم إتمامه فيها، فجعله طريقا في تعيين الأحكام بطريق أولى.</w:t>
      </w:r>
      <w:r w:rsidRPr="00591990">
        <w:rPr>
          <w:color w:val="auto"/>
          <w:vertAlign w:val="superscript"/>
          <w:rtl/>
        </w:rPr>
        <w:footnoteReference w:id="2"/>
      </w:r>
    </w:p>
    <w:p w14:paraId="3A622370" w14:textId="77777777" w:rsidR="00C27BFE" w:rsidRPr="00C27BFE" w:rsidRDefault="00C27BFE" w:rsidP="00C27BFE">
      <w:pPr>
        <w:pStyle w:val="a1"/>
        <w:numPr>
          <w:ilvl w:val="0"/>
          <w:numId w:val="3"/>
        </w:numPr>
        <w:rPr>
          <w:color w:val="002060"/>
        </w:rPr>
      </w:pPr>
      <w:r w:rsidRPr="00C27BFE">
        <w:rPr>
          <w:rFonts w:hint="cs"/>
          <w:b/>
          <w:bCs/>
          <w:color w:val="002060"/>
          <w:rtl/>
        </w:rPr>
        <w:t>شرح الرسائل ؛ ج‏1 ؛ ص354</w:t>
      </w:r>
    </w:p>
    <w:p w14:paraId="61F65687" w14:textId="77777777" w:rsidR="00C27BFE" w:rsidRPr="00C27BFE" w:rsidRDefault="00C27BFE" w:rsidP="00C27BFE">
      <w:pPr>
        <w:pStyle w:val="a1"/>
        <w:rPr>
          <w:color w:val="auto"/>
          <w:rtl/>
        </w:rPr>
      </w:pPr>
      <w:r w:rsidRPr="00C27BFE">
        <w:rPr>
          <w:rFonts w:hint="cs"/>
          <w:color w:val="auto"/>
          <w:rtl/>
        </w:rPr>
        <w:lastRenderedPageBreak/>
        <w:t>(و الأولوية) لأنّه إذا كان خبر العادل حجة في الموضوعات مطلقا باقرارك مع احتياجها إلى العدلين ففي الأحكام بطريق أولى لعدم اعتبار التعدد فيه.</w:t>
      </w:r>
      <w:r w:rsidRPr="00C27BFE">
        <w:rPr>
          <w:color w:val="auto"/>
          <w:vertAlign w:val="superscript"/>
          <w:rtl/>
        </w:rPr>
        <w:footnoteReference w:id="3"/>
      </w:r>
    </w:p>
    <w:p w14:paraId="426266E3" w14:textId="77777777" w:rsidR="00C27BFE" w:rsidRPr="00C27BFE" w:rsidRDefault="00C27BFE" w:rsidP="00C27BFE">
      <w:pPr>
        <w:pStyle w:val="a1"/>
        <w:numPr>
          <w:ilvl w:val="0"/>
          <w:numId w:val="2"/>
        </w:numPr>
        <w:rPr>
          <w:color w:val="002060"/>
        </w:rPr>
      </w:pPr>
      <w:r w:rsidRPr="00C27BFE">
        <w:rPr>
          <w:rFonts w:hint="cs"/>
          <w:b/>
          <w:bCs/>
          <w:color w:val="002060"/>
          <w:rtl/>
        </w:rPr>
        <w:t>التنقيح ؛ ج‏1 ؛ ص371</w:t>
      </w:r>
    </w:p>
    <w:p w14:paraId="5411F73E" w14:textId="77777777" w:rsidR="00C27BFE" w:rsidRPr="00C27BFE" w:rsidRDefault="00C27BFE" w:rsidP="00C27BFE">
      <w:pPr>
        <w:pStyle w:val="a1"/>
        <w:rPr>
          <w:color w:val="auto"/>
        </w:rPr>
      </w:pPr>
      <w:r w:rsidRPr="00C27BFE">
        <w:rPr>
          <w:rFonts w:hint="cs"/>
          <w:color w:val="auto"/>
          <w:rtl/>
        </w:rPr>
        <w:t>لم يتضح وجه الأولوية إلّا أن تكون بلحاظ أقوال الأصحاب، حيث أن القائل بحجية خبر العدل الواحد في الأحكام أكثر من القائل بحجيته في الموضوعات.</w:t>
      </w:r>
      <w:r w:rsidRPr="00C27BFE">
        <w:rPr>
          <w:color w:val="auto"/>
          <w:vertAlign w:val="superscript"/>
          <w:rtl/>
        </w:rPr>
        <w:footnoteReference w:id="4"/>
      </w: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25709683" w:rsidR="00F0584A" w:rsidRDefault="00F0584A" w:rsidP="001B7911">
      <w:pPr>
        <w:pStyle w:val="a1"/>
        <w:rPr>
          <w:rtl/>
        </w:rPr>
      </w:pP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E0C65" w14:textId="77777777" w:rsidR="002E4D0A" w:rsidRDefault="002E4D0A" w:rsidP="00982C20">
      <w:pPr>
        <w:spacing w:after="0" w:line="240" w:lineRule="auto"/>
      </w:pPr>
      <w:r>
        <w:separator/>
      </w:r>
    </w:p>
  </w:endnote>
  <w:endnote w:type="continuationSeparator" w:id="0">
    <w:p w14:paraId="5C2EECE3" w14:textId="77777777" w:rsidR="002E4D0A" w:rsidRDefault="002E4D0A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BAF3A" w14:textId="77777777" w:rsidR="002E4D0A" w:rsidRDefault="002E4D0A" w:rsidP="00982C20">
      <w:pPr>
        <w:spacing w:after="0" w:line="240" w:lineRule="auto"/>
      </w:pPr>
      <w:r>
        <w:separator/>
      </w:r>
    </w:p>
  </w:footnote>
  <w:footnote w:type="continuationSeparator" w:id="0">
    <w:p w14:paraId="62D2CBFC" w14:textId="77777777" w:rsidR="002E4D0A" w:rsidRDefault="002E4D0A" w:rsidP="00982C20">
      <w:pPr>
        <w:spacing w:after="0" w:line="240" w:lineRule="auto"/>
      </w:pPr>
      <w:r>
        <w:continuationSeparator/>
      </w:r>
    </w:p>
  </w:footnote>
  <w:footnote w:id="1">
    <w:p w14:paraId="5046EB20" w14:textId="77777777" w:rsidR="00C27BFE" w:rsidRDefault="00C27BFE" w:rsidP="00C27BFE">
      <w:pPr>
        <w:pStyle w:val="a0"/>
        <w:rPr>
          <w:rFonts w:hint="cs"/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حسينى شيرازى، محمد، الوصائل الى الرسائل - قم، چاپ: دوم، 1421 ق.</w:t>
      </w:r>
    </w:p>
  </w:footnote>
  <w:footnote w:id="2">
    <w:p w14:paraId="4BB71027" w14:textId="77777777" w:rsidR="00C27BFE" w:rsidRDefault="00C27BFE" w:rsidP="00C27BFE">
      <w:pPr>
        <w:pStyle w:val="a0"/>
        <w:rPr>
          <w:rFonts w:hint="cs"/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حاج آخوند قمى، غلامرضا بن رجبعلى، قلائد الفرائد - قم، چاپ: اول، 1428 ق.</w:t>
      </w:r>
    </w:p>
  </w:footnote>
  <w:footnote w:id="3">
    <w:p w14:paraId="48F386BA" w14:textId="77777777" w:rsidR="00C27BFE" w:rsidRDefault="00C27BFE" w:rsidP="00C27BFE">
      <w:pPr>
        <w:pStyle w:val="a0"/>
        <w:rPr>
          <w:rFonts w:hint="cs"/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اعتمادى، مصطفي، شرح الرسائل - قم، چاپ: دوم، 1387 ش.</w:t>
      </w:r>
    </w:p>
  </w:footnote>
  <w:footnote w:id="4">
    <w:p w14:paraId="41847040" w14:textId="77777777" w:rsidR="00C27BFE" w:rsidRDefault="00C27BFE" w:rsidP="00C27BFE">
      <w:pPr>
        <w:pStyle w:val="a0"/>
        <w:rPr>
          <w:rFonts w:hint="cs"/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طباطبايى حكيم، محمدسعيد، التنقيح - بيروت، چاپ: اول، 1431 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91990" w:rsidRPr="00591990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91990" w:rsidRPr="00591990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65641"/>
    <w:multiLevelType w:val="hybridMultilevel"/>
    <w:tmpl w:val="8B2EE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77C48"/>
    <w:multiLevelType w:val="hybridMultilevel"/>
    <w:tmpl w:val="A1DC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41C9C"/>
    <w:multiLevelType w:val="hybridMultilevel"/>
    <w:tmpl w:val="6E0A0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E4D0A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91990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27BFE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228DE091-D566-4032-A6F9-1B9EE004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650D6-77B0-4AE5-9DD5-7DA2FD01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171</cp:revision>
  <cp:lastPrinted>2020-02-22T11:18:00Z</cp:lastPrinted>
  <dcterms:created xsi:type="dcterms:W3CDTF">2019-12-17T13:26:00Z</dcterms:created>
  <dcterms:modified xsi:type="dcterms:W3CDTF">2022-04-10T06:34:00Z</dcterms:modified>
</cp:coreProperties>
</file>