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B8798" w14:textId="77777777" w:rsidR="00EB5C2D" w:rsidRPr="00EB5C2D" w:rsidRDefault="00EB5C2D" w:rsidP="00EB5C2D">
      <w:pPr>
        <w:pStyle w:val="ListParagraph"/>
        <w:numPr>
          <w:ilvl w:val="0"/>
          <w:numId w:val="3"/>
        </w:numPr>
        <w:rPr>
          <w:rFonts w:asciiTheme="majorHAnsi" w:eastAsiaTheme="majorEastAsia" w:hAnsiTheme="majorHAnsi" w:cs="IRTitr"/>
          <w:spacing w:val="-10"/>
          <w:kern w:val="28"/>
          <w:sz w:val="56"/>
          <w:szCs w:val="56"/>
          <w:rtl/>
        </w:rPr>
      </w:pPr>
      <w:r w:rsidRPr="006E60CA">
        <w:rPr>
          <w:rFonts w:asciiTheme="majorHAnsi" w:eastAsiaTheme="majorEastAsia" w:hAnsiTheme="majorHAnsi" w:cs="IRTitr"/>
          <w:spacing w:val="-10"/>
          <w:kern w:val="28"/>
          <w:sz w:val="44"/>
          <w:szCs w:val="44"/>
          <w:rtl/>
        </w:rPr>
        <w:t>الوَسيلَةُ إلى‏ رِضوانِ اللَّه</w:t>
      </w:r>
      <w:r w:rsidRPr="00EB5C2D">
        <w:rPr>
          <w:rFonts w:asciiTheme="majorHAnsi" w:eastAsiaTheme="majorEastAsia" w:hAnsiTheme="majorHAnsi" w:cs="IRTitr"/>
          <w:spacing w:val="-10"/>
          <w:kern w:val="28"/>
          <w:sz w:val="56"/>
          <w:szCs w:val="56"/>
          <w:rtl/>
        </w:rPr>
        <w:t>‏</w:t>
      </w:r>
      <w:r>
        <w:rPr>
          <w:rFonts w:asciiTheme="majorHAnsi" w:eastAsiaTheme="majorEastAsia" w:hAnsiTheme="majorHAnsi" w:cs="IRTitr" w:hint="cs"/>
          <w:spacing w:val="-10"/>
          <w:kern w:val="28"/>
          <w:sz w:val="56"/>
          <w:szCs w:val="56"/>
          <w:rtl/>
        </w:rPr>
        <w:t xml:space="preserve"> </w:t>
      </w:r>
      <w:r w:rsidRPr="00EB5C2D">
        <w:rPr>
          <w:rFonts w:ascii="IRNazanin" w:eastAsiaTheme="majorEastAsia" w:hAnsi="IRNazanin" w:cs="IRNazanin" w:hint="cs"/>
          <w:spacing w:val="-10"/>
          <w:kern w:val="28"/>
          <w:szCs w:val="36"/>
          <w:rtl/>
        </w:rPr>
        <w:t>(</w:t>
      </w:r>
      <w:r w:rsidRPr="00EB5C2D">
        <w:rPr>
          <w:rFonts w:ascii="IRNazanin" w:eastAsiaTheme="majorEastAsia" w:hAnsi="IRNazanin" w:cs="IRNazanin"/>
          <w:spacing w:val="-10"/>
          <w:kern w:val="28"/>
          <w:szCs w:val="36"/>
          <w:rtl/>
        </w:rPr>
        <w:t>ميزان الحكمة ؛ ج‏5-عربى ؛ ص595</w:t>
      </w:r>
      <w:r w:rsidRPr="00EB5C2D">
        <w:rPr>
          <w:rFonts w:ascii="IRNazanin" w:eastAsiaTheme="majorEastAsia" w:hAnsi="IRNazanin" w:cs="IRNazanin" w:hint="cs"/>
          <w:spacing w:val="-10"/>
          <w:kern w:val="28"/>
          <w:szCs w:val="36"/>
          <w:rtl/>
        </w:rPr>
        <w:t>)</w:t>
      </w:r>
    </w:p>
    <w:p w14:paraId="6E079A75" w14:textId="77777777" w:rsidR="00EB5C2D" w:rsidRPr="001C0EB5" w:rsidRDefault="00EB5C2D" w:rsidP="00EB5C2D">
      <w:pPr>
        <w:rPr>
          <w:b/>
          <w:bCs/>
          <w:color w:val="000000" w:themeColor="text1"/>
          <w:sz w:val="40"/>
          <w:szCs w:val="36"/>
          <w:rtl/>
        </w:rPr>
      </w:pPr>
      <w:r w:rsidRPr="001C0EB5">
        <w:rPr>
          <w:b/>
          <w:bCs/>
          <w:color w:val="000000" w:themeColor="text1"/>
          <w:sz w:val="40"/>
          <w:szCs w:val="36"/>
          <w:rtl/>
        </w:rPr>
        <w:t>الكتاب:</w:t>
      </w:r>
    </w:p>
    <w:p w14:paraId="34BD5D09" w14:textId="77777777" w:rsidR="00EB5C2D" w:rsidRPr="00EB5C2D" w:rsidRDefault="00F86EE8" w:rsidP="00F86EE8">
      <w:pPr>
        <w:rPr>
          <w:color w:val="000000" w:themeColor="text1"/>
          <w:sz w:val="40"/>
          <w:szCs w:val="36"/>
          <w:rtl/>
        </w:rPr>
      </w:pPr>
      <w:r>
        <w:rPr>
          <w:color w:val="000000" w:themeColor="text1"/>
          <w:sz w:val="40"/>
          <w:szCs w:val="36"/>
        </w:rPr>
        <w:sym w:font="علائم مذهبي" w:char="F025"/>
      </w:r>
      <w:r w:rsidR="00EB5C2D" w:rsidRPr="00B521D7">
        <w:rPr>
          <w:rFonts w:cs="QuranTaha"/>
          <w:color w:val="000000" w:themeColor="text1"/>
          <w:rtl/>
        </w:rPr>
        <w:t>يا أيُّها الَّذِينَ آمَنُوا اتَّقُوا اللَّهَ و</w:t>
      </w:r>
      <w:r w:rsidR="0049605C">
        <w:rPr>
          <w:rFonts w:cs="QuranTaha" w:hint="cs"/>
          <w:color w:val="000000" w:themeColor="text1"/>
          <w:rtl/>
        </w:rPr>
        <w:t xml:space="preserve"> </w:t>
      </w:r>
      <w:r w:rsidR="00EB5C2D" w:rsidRPr="00B521D7">
        <w:rPr>
          <w:rFonts w:cs="QuranTaha"/>
          <w:color w:val="000000" w:themeColor="text1"/>
          <w:rtl/>
        </w:rPr>
        <w:t>ابْتَغُوا إلَيهِ الوَسِيْلَةَ وَجاهِدُوا فِي سَبِيلِهِ لَعَلَّكُمْ تُفلِحُونَ</w:t>
      </w:r>
      <w:r>
        <w:rPr>
          <w:color w:val="000000" w:themeColor="text1"/>
          <w:sz w:val="40"/>
          <w:szCs w:val="36"/>
        </w:rPr>
        <w:sym w:font="علائم مذهبي" w:char="F024"/>
      </w:r>
      <w:r w:rsidR="00E41CCC">
        <w:rPr>
          <w:rStyle w:val="FootnoteReference"/>
          <w:color w:val="000000" w:themeColor="text1"/>
          <w:sz w:val="40"/>
          <w:szCs w:val="36"/>
          <w:rtl/>
        </w:rPr>
        <w:footnoteReference w:id="1"/>
      </w:r>
      <w:r w:rsidR="00EB5C2D" w:rsidRPr="00EB5C2D">
        <w:rPr>
          <w:color w:val="000000" w:themeColor="text1"/>
          <w:sz w:val="40"/>
          <w:szCs w:val="36"/>
          <w:rtl/>
        </w:rPr>
        <w:t xml:space="preserve">. </w:t>
      </w:r>
    </w:p>
    <w:p w14:paraId="5FA6F6B6" w14:textId="77777777" w:rsidR="00EB5C2D" w:rsidRPr="001C0EB5" w:rsidRDefault="00EB5C2D" w:rsidP="00EB5C2D">
      <w:pPr>
        <w:rPr>
          <w:b/>
          <w:bCs/>
          <w:color w:val="000000" w:themeColor="text1"/>
          <w:sz w:val="40"/>
          <w:szCs w:val="36"/>
          <w:rtl/>
        </w:rPr>
      </w:pPr>
      <w:r w:rsidRPr="001C0EB5">
        <w:rPr>
          <w:b/>
          <w:bCs/>
          <w:color w:val="000000" w:themeColor="text1"/>
          <w:sz w:val="40"/>
          <w:szCs w:val="36"/>
          <w:rtl/>
        </w:rPr>
        <w:t>الحديث:</w:t>
      </w:r>
    </w:p>
    <w:p w14:paraId="23539928" w14:textId="77777777" w:rsidR="00EB5C2D" w:rsidRDefault="00EB5C2D" w:rsidP="00EB5C2D">
      <w:pPr>
        <w:rPr>
          <w:color w:val="000000" w:themeColor="text1"/>
          <w:sz w:val="40"/>
          <w:szCs w:val="36"/>
          <w:rtl/>
        </w:rPr>
      </w:pPr>
      <w:r w:rsidRPr="00EB5C2D">
        <w:rPr>
          <w:color w:val="000000" w:themeColor="text1"/>
          <w:sz w:val="40"/>
          <w:szCs w:val="36"/>
          <w:rtl/>
        </w:rPr>
        <w:t>9681 رسولُ اللَّهِ صلى الله عليه و آله: سَلُوا اللَّهَ لي الوَسِيلَةَ ... فَمَن سَألَ لي الوَسيلَةَ حَلَّتْ لَهُ الشَّفاعَةُ</w:t>
      </w:r>
      <w:r>
        <w:rPr>
          <w:rStyle w:val="FootnoteReference"/>
          <w:color w:val="000000" w:themeColor="text1"/>
          <w:sz w:val="40"/>
          <w:szCs w:val="36"/>
          <w:rtl/>
        </w:rPr>
        <w:footnoteReference w:id="2"/>
      </w:r>
      <w:r w:rsidRPr="00EB5C2D">
        <w:rPr>
          <w:color w:val="000000" w:themeColor="text1"/>
          <w:sz w:val="40"/>
          <w:szCs w:val="36"/>
          <w:rtl/>
        </w:rPr>
        <w:t xml:space="preserve">. </w:t>
      </w:r>
    </w:p>
    <w:p w14:paraId="592762BB" w14:textId="77777777" w:rsidR="00EB5C2D" w:rsidRPr="00EB5C2D" w:rsidRDefault="00EB5C2D" w:rsidP="00EB5C2D">
      <w:pPr>
        <w:rPr>
          <w:color w:val="000000" w:themeColor="text1"/>
          <w:sz w:val="40"/>
          <w:szCs w:val="36"/>
          <w:rtl/>
        </w:rPr>
      </w:pPr>
      <w:r w:rsidRPr="00EB5C2D">
        <w:rPr>
          <w:color w:val="000000" w:themeColor="text1"/>
          <w:sz w:val="40"/>
          <w:szCs w:val="36"/>
          <w:rtl/>
        </w:rPr>
        <w:t>9682. عنه صلى الله عليه و آله: الوَسِيلَةُ دَرَجةٌ عِندَ اللَّهِ ليسَ فَوقَها دَرَجَةٌ، فَسَلُوا ا</w:t>
      </w:r>
      <w:r>
        <w:rPr>
          <w:color w:val="000000" w:themeColor="text1"/>
          <w:sz w:val="40"/>
          <w:szCs w:val="36"/>
          <w:rtl/>
        </w:rPr>
        <w:t>للَّهَ أن يُؤتِيَني الوَسيلَةَ.</w:t>
      </w:r>
      <w:r>
        <w:rPr>
          <w:rStyle w:val="FootnoteReference"/>
          <w:color w:val="000000" w:themeColor="text1"/>
          <w:sz w:val="40"/>
          <w:szCs w:val="36"/>
          <w:rtl/>
        </w:rPr>
        <w:footnoteReference w:id="3"/>
      </w:r>
    </w:p>
    <w:p w14:paraId="5703798C" w14:textId="77777777" w:rsidR="00EB5C2D" w:rsidRPr="00EB5C2D" w:rsidRDefault="00EB5C2D" w:rsidP="00EB5C2D">
      <w:pPr>
        <w:rPr>
          <w:color w:val="000000" w:themeColor="text1"/>
          <w:sz w:val="40"/>
          <w:szCs w:val="36"/>
          <w:rtl/>
        </w:rPr>
      </w:pPr>
      <w:r w:rsidRPr="00EB5C2D">
        <w:rPr>
          <w:color w:val="000000" w:themeColor="text1"/>
          <w:sz w:val="40"/>
          <w:szCs w:val="36"/>
          <w:rtl/>
        </w:rPr>
        <w:t xml:space="preserve">9683. علل الشرايع‏ عن أبي سعيدِ الخُدريِّ: كانَ النبيُّ صلى الله عليه و آله يقولُ: إذا سَألتُمُ اللَّهَ لي فَاسألُوهُ الوَسيلَةَ، فَسَألنا النبيَّ صلى الله عليه و آله عنِ الوَسيلةِ </w:t>
      </w:r>
      <w:r>
        <w:rPr>
          <w:color w:val="000000" w:themeColor="text1"/>
          <w:sz w:val="40"/>
          <w:szCs w:val="36"/>
          <w:rtl/>
        </w:rPr>
        <w:t>فقالَ: هي دَرَجَتي في‏الجَنَّةِ</w:t>
      </w:r>
      <w:r>
        <w:rPr>
          <w:rStyle w:val="FootnoteReference"/>
          <w:color w:val="000000" w:themeColor="text1"/>
          <w:sz w:val="40"/>
          <w:szCs w:val="36"/>
          <w:rtl/>
        </w:rPr>
        <w:footnoteReference w:id="4"/>
      </w:r>
      <w:r w:rsidRPr="00EB5C2D">
        <w:rPr>
          <w:color w:val="000000" w:themeColor="text1"/>
          <w:sz w:val="40"/>
          <w:szCs w:val="36"/>
          <w:rtl/>
        </w:rPr>
        <w:t xml:space="preserve">. </w:t>
      </w:r>
    </w:p>
    <w:p w14:paraId="3B5AD2FD" w14:textId="77777777" w:rsidR="00EB5C2D" w:rsidRPr="00EB5C2D" w:rsidRDefault="00EB5C2D" w:rsidP="00EB5C2D">
      <w:pPr>
        <w:rPr>
          <w:color w:val="000000" w:themeColor="text1"/>
          <w:sz w:val="40"/>
          <w:szCs w:val="36"/>
          <w:rtl/>
        </w:rPr>
      </w:pPr>
      <w:r w:rsidRPr="00EB5C2D">
        <w:rPr>
          <w:color w:val="000000" w:themeColor="text1"/>
          <w:sz w:val="40"/>
          <w:szCs w:val="36"/>
          <w:rtl/>
        </w:rPr>
        <w:t>9684. الإمامُ عليٌّ عليه السلام: أيُّها الناسُ! إنَّ اللَّهَ تعالى‏ وَعَدَ نَبِيَّهُ مُحمّداً صلى الله عليه و آله الوَسيلَةَ ووَعدُهُ الحَقُ‏</w:t>
      </w:r>
      <w:r>
        <w:rPr>
          <w:rFonts w:hint="cs"/>
          <w:color w:val="000000" w:themeColor="text1"/>
          <w:sz w:val="40"/>
          <w:szCs w:val="36"/>
          <w:rtl/>
        </w:rPr>
        <w:t xml:space="preserve"> </w:t>
      </w:r>
      <w:r w:rsidRPr="00EB5C2D">
        <w:rPr>
          <w:color w:val="000000" w:themeColor="text1"/>
          <w:sz w:val="40"/>
          <w:szCs w:val="36"/>
          <w:rtl/>
        </w:rPr>
        <w:t>ولَن يُخلِفَ اللَّهُ وَعدَهُ، ألا وإنّ الوَسيلَةَ على‏  دَرَجِ الجَنَّةِ، وذِروَةُ ذَوائبِ‏الزُّلفَةِ</w:t>
      </w:r>
      <w:r>
        <w:rPr>
          <w:color w:val="000000" w:themeColor="text1"/>
          <w:sz w:val="40"/>
          <w:szCs w:val="36"/>
          <w:rtl/>
        </w:rPr>
        <w:t>، ونِهايَةُ غايَةِ الامنِيَّةِ.</w:t>
      </w:r>
      <w:r>
        <w:rPr>
          <w:rStyle w:val="FootnoteReference"/>
          <w:color w:val="000000" w:themeColor="text1"/>
          <w:sz w:val="40"/>
          <w:szCs w:val="36"/>
          <w:rtl/>
        </w:rPr>
        <w:footnoteReference w:id="5"/>
      </w:r>
    </w:p>
    <w:p w14:paraId="265D19AA" w14:textId="77777777" w:rsidR="00EB5C2D" w:rsidRPr="00EB5C2D" w:rsidRDefault="00EB5C2D" w:rsidP="00EB5C2D">
      <w:pPr>
        <w:rPr>
          <w:color w:val="000000" w:themeColor="text1"/>
          <w:sz w:val="40"/>
          <w:szCs w:val="36"/>
          <w:rtl/>
        </w:rPr>
      </w:pPr>
      <w:r w:rsidRPr="00EB5C2D">
        <w:rPr>
          <w:color w:val="000000" w:themeColor="text1"/>
          <w:sz w:val="40"/>
          <w:szCs w:val="36"/>
          <w:rtl/>
        </w:rPr>
        <w:t>9685. عنه عليه السلام‏- في قولِهِ تعالى‏: «وابْتَغُوا إلَيهِ الوَسِيلَةَ» -: أنا وَسِيلَتُهُ</w:t>
      </w:r>
      <w:r>
        <w:rPr>
          <w:rStyle w:val="FootnoteReference"/>
          <w:color w:val="000000" w:themeColor="text1"/>
          <w:sz w:val="40"/>
          <w:szCs w:val="36"/>
          <w:rtl/>
        </w:rPr>
        <w:footnoteReference w:id="6"/>
      </w:r>
      <w:r w:rsidRPr="00EB5C2D">
        <w:rPr>
          <w:color w:val="000000" w:themeColor="text1"/>
          <w:sz w:val="40"/>
          <w:szCs w:val="36"/>
          <w:rtl/>
        </w:rPr>
        <w:t xml:space="preserve">. </w:t>
      </w:r>
    </w:p>
    <w:p w14:paraId="5CAE5BDC" w14:textId="77777777" w:rsidR="00EB5C2D" w:rsidRPr="0024479E" w:rsidRDefault="00EB5C2D" w:rsidP="00EB5C2D">
      <w:pPr>
        <w:rPr>
          <w:color w:val="000000" w:themeColor="text1"/>
          <w:sz w:val="40"/>
          <w:szCs w:val="36"/>
          <w:rtl/>
        </w:rPr>
      </w:pPr>
      <w:r w:rsidRPr="00EB5C2D">
        <w:rPr>
          <w:color w:val="000000" w:themeColor="text1"/>
          <w:sz w:val="40"/>
          <w:szCs w:val="36"/>
          <w:rtl/>
        </w:rPr>
        <w:t>9686. رسول اللَّه صلى الله عليه و آله: الأئمّةُ مِن وُلْدِ الحُسينِ عليه السلام، مَن أطاعَهُم فَقَد أطاعَ اللَّهَ، ومَن عَصاهُم فقد عَصَى اللَّهَ عَزَّوجلَّ، هُم العُروَةُ الوُثقى‏، وهُمُ الوَسيلَةُ إلى اللَّهِ عَزّوجلّ.</w:t>
      </w:r>
      <w:r>
        <w:rPr>
          <w:rStyle w:val="FootnoteReference"/>
          <w:color w:val="000000" w:themeColor="text1"/>
          <w:sz w:val="40"/>
          <w:szCs w:val="36"/>
          <w:rtl/>
        </w:rPr>
        <w:footnoteReference w:id="7"/>
      </w:r>
      <w:r w:rsidRPr="00EB5C2D">
        <w:rPr>
          <w:color w:val="000000" w:themeColor="text1"/>
          <w:sz w:val="40"/>
          <w:szCs w:val="36"/>
          <w:rtl/>
        </w:rPr>
        <w:t xml:space="preserve">  </w:t>
      </w:r>
    </w:p>
    <w:p w14:paraId="2806DD3E" w14:textId="77777777" w:rsidR="00A22E6A" w:rsidRDefault="00A22E6A" w:rsidP="0024479E">
      <w:pPr>
        <w:rPr>
          <w:rtl/>
        </w:rPr>
      </w:pPr>
    </w:p>
    <w:p w14:paraId="2A625097" w14:textId="77777777" w:rsidR="00E57EDD" w:rsidRPr="006E60CA" w:rsidRDefault="001C0EB5" w:rsidP="001C0EB5">
      <w:pPr>
        <w:pStyle w:val="ListParagraph"/>
        <w:numPr>
          <w:ilvl w:val="0"/>
          <w:numId w:val="4"/>
        </w:numPr>
        <w:rPr>
          <w:rFonts w:asciiTheme="majorHAnsi" w:eastAsiaTheme="majorEastAsia" w:hAnsiTheme="majorHAnsi" w:cs="IRTitr"/>
          <w:spacing w:val="-10"/>
          <w:kern w:val="28"/>
          <w:sz w:val="44"/>
          <w:szCs w:val="44"/>
          <w:rtl/>
        </w:rPr>
      </w:pPr>
      <w:r w:rsidRPr="006E60CA">
        <w:rPr>
          <w:rFonts w:asciiTheme="majorHAnsi" w:eastAsiaTheme="majorEastAsia" w:hAnsiTheme="majorHAnsi" w:cs="IRTitr" w:hint="cs"/>
          <w:spacing w:val="-10"/>
          <w:kern w:val="28"/>
          <w:sz w:val="44"/>
          <w:szCs w:val="44"/>
          <w:rtl/>
        </w:rPr>
        <w:t>کلام العلامة الطباطبائي في تفسیر الکريمة</w:t>
      </w:r>
    </w:p>
    <w:p w14:paraId="18BA8C1F" w14:textId="567C69EC" w:rsidR="001C0EB5" w:rsidRDefault="001C0EB5" w:rsidP="00706E8D">
      <w:pPr>
        <w:rPr>
          <w:sz w:val="40"/>
          <w:szCs w:val="36"/>
          <w:rtl/>
        </w:rPr>
      </w:pPr>
      <w:r w:rsidRPr="001C0EB5">
        <w:rPr>
          <w:sz w:val="40"/>
          <w:szCs w:val="36"/>
          <w:rtl/>
        </w:rPr>
        <w:t xml:space="preserve">قوله تعالى: </w:t>
      </w:r>
      <w:r w:rsidR="00706E8D" w:rsidRPr="000425BB">
        <w:rPr>
          <w:rFonts w:cs="QuranTaha"/>
          <w:sz w:val="32"/>
          <w:szCs w:val="28"/>
        </w:rPr>
        <w:sym w:font="علائم مذهبي" w:char="F025"/>
      </w:r>
      <w:r w:rsidRPr="000425BB">
        <w:rPr>
          <w:rFonts w:cs="QuranTaha"/>
          <w:sz w:val="32"/>
          <w:szCs w:val="28"/>
          <w:rtl/>
        </w:rPr>
        <w:t>يا أَيُّهَا الَّذِينَ آمَنُوا اتَّقُوا اللَّهَ وَ ابْتَغُوا إِلَيْهِ الْوَسِيلَةَ</w:t>
      </w:r>
      <w:r w:rsidR="00706E8D">
        <w:rPr>
          <w:sz w:val="40"/>
          <w:szCs w:val="36"/>
        </w:rPr>
        <w:sym w:font="علائم مذهبي" w:char="F024"/>
      </w:r>
      <w:r w:rsidRPr="001C0EB5">
        <w:rPr>
          <w:sz w:val="40"/>
          <w:szCs w:val="36"/>
          <w:rtl/>
        </w:rPr>
        <w:t xml:space="preserve"> (إلخ) قال الراغب في المفردات:، الوسيلة التوصل إلى الشي‏ء برغبة، و هي أخص من الوصيلة لتضمنها لمعنى الرغبة، قال تعالى: وَ ابْتَغُوا إِلَيْهِ الْوَسِيلَةَ، و حقيقة الوسيلة إلى الله تعالى مراعاة سبيله بالعلم و العبادة، و تحري مكارم الشريعة، و هي كالقربة</w:t>
      </w:r>
      <w:r w:rsidR="004156AC">
        <w:rPr>
          <w:rStyle w:val="FootnoteReference"/>
          <w:sz w:val="40"/>
          <w:szCs w:val="36"/>
          <w:rtl/>
        </w:rPr>
        <w:footnoteReference w:id="8"/>
      </w:r>
      <w:r w:rsidR="005971F9" w:rsidRPr="005971F9">
        <w:rPr>
          <w:rFonts w:hint="cs"/>
          <w:sz w:val="40"/>
          <w:szCs w:val="36"/>
          <w:vertAlign w:val="superscript"/>
          <w:rtl/>
        </w:rPr>
        <w:t>و</w:t>
      </w:r>
      <w:r w:rsidR="005971F9">
        <w:rPr>
          <w:rStyle w:val="FootnoteReference"/>
          <w:sz w:val="40"/>
          <w:szCs w:val="36"/>
          <w:rtl/>
        </w:rPr>
        <w:footnoteReference w:id="9"/>
      </w:r>
      <w:r w:rsidRPr="001C0EB5">
        <w:rPr>
          <w:sz w:val="40"/>
          <w:szCs w:val="36"/>
          <w:rtl/>
        </w:rPr>
        <w:t>، و إذ كانت نوعا من التوصل و ليس إلا توصلا و اتصالا معنويا بما يوصل بين العبد و ربه و يربط هذا بذاك، و لا رابط يربط العبد بربه إلا ذلة العبودية، فالوسيلة هي التحقق بحقيقة العبودية و توجيه وجه المسكنة و الفقر إلى جنابه تعالى، فهذه هي الوسيلة الرابطة، و أما العلم و العمل فإنما هما من لوازمها و أدواتها كما هو ظاهر إلا أن يطلق العلم و العمل على نفس هذه الحالة.</w:t>
      </w:r>
      <w:r>
        <w:rPr>
          <w:rStyle w:val="FootnoteReference"/>
          <w:sz w:val="40"/>
          <w:szCs w:val="36"/>
        </w:rPr>
        <w:footnoteReference w:id="10"/>
      </w:r>
    </w:p>
    <w:p w14:paraId="479E3DE1" w14:textId="77777777" w:rsidR="006E60CA" w:rsidRPr="006E60CA" w:rsidRDefault="006E60CA" w:rsidP="006E60CA">
      <w:pPr>
        <w:pStyle w:val="ListParagraph"/>
        <w:numPr>
          <w:ilvl w:val="0"/>
          <w:numId w:val="4"/>
        </w:numPr>
        <w:rPr>
          <w:rFonts w:asciiTheme="majorHAnsi" w:eastAsiaTheme="majorEastAsia" w:hAnsiTheme="majorHAnsi" w:cs="IRTitr"/>
          <w:spacing w:val="-10"/>
          <w:kern w:val="28"/>
          <w:sz w:val="44"/>
          <w:szCs w:val="44"/>
          <w:rtl/>
        </w:rPr>
      </w:pPr>
      <w:r w:rsidRPr="006E60CA">
        <w:rPr>
          <w:rFonts w:asciiTheme="majorHAnsi" w:eastAsiaTheme="majorEastAsia" w:hAnsiTheme="majorHAnsi" w:cs="IRTitr" w:hint="cs"/>
          <w:spacing w:val="-10"/>
          <w:kern w:val="28"/>
          <w:sz w:val="44"/>
          <w:szCs w:val="44"/>
          <w:rtl/>
        </w:rPr>
        <w:t>تنبیهات</w:t>
      </w:r>
    </w:p>
    <w:p w14:paraId="47C8E528" w14:textId="77777777" w:rsidR="000B07C9" w:rsidRPr="000B07C9" w:rsidRDefault="000B07C9" w:rsidP="000B07C9">
      <w:pPr>
        <w:pStyle w:val="ListParagraph"/>
        <w:numPr>
          <w:ilvl w:val="0"/>
          <w:numId w:val="7"/>
        </w:numPr>
        <w:rPr>
          <w:sz w:val="40"/>
          <w:szCs w:val="36"/>
          <w:rtl/>
        </w:rPr>
      </w:pPr>
    </w:p>
    <w:p w14:paraId="07D0C256" w14:textId="77777777" w:rsidR="000B07C9" w:rsidRDefault="000B07C9" w:rsidP="000B07C9">
      <w:pPr>
        <w:pStyle w:val="ListParagraph"/>
        <w:numPr>
          <w:ilvl w:val="0"/>
          <w:numId w:val="7"/>
        </w:numPr>
        <w:rPr>
          <w:sz w:val="40"/>
          <w:szCs w:val="36"/>
        </w:rPr>
      </w:pPr>
    </w:p>
    <w:p w14:paraId="6EBC2133" w14:textId="77777777" w:rsidR="000B07C9" w:rsidRDefault="000B07C9" w:rsidP="000B07C9">
      <w:pPr>
        <w:pStyle w:val="ListParagraph"/>
        <w:numPr>
          <w:ilvl w:val="0"/>
          <w:numId w:val="7"/>
        </w:numPr>
        <w:rPr>
          <w:sz w:val="40"/>
          <w:szCs w:val="36"/>
        </w:rPr>
      </w:pPr>
    </w:p>
    <w:p w14:paraId="42529810" w14:textId="77777777" w:rsidR="000B07C9" w:rsidRDefault="000B07C9" w:rsidP="000B07C9">
      <w:pPr>
        <w:pStyle w:val="ListParagraph"/>
        <w:numPr>
          <w:ilvl w:val="0"/>
          <w:numId w:val="7"/>
        </w:numPr>
        <w:rPr>
          <w:sz w:val="40"/>
          <w:szCs w:val="36"/>
        </w:rPr>
      </w:pPr>
    </w:p>
    <w:p w14:paraId="0A6F941E" w14:textId="37DA2BA3" w:rsidR="007E5AA9" w:rsidRPr="000B07C9" w:rsidRDefault="007E5AA9" w:rsidP="000B07C9">
      <w:pPr>
        <w:pStyle w:val="ListParagraph"/>
        <w:numPr>
          <w:ilvl w:val="0"/>
          <w:numId w:val="7"/>
        </w:numPr>
        <w:rPr>
          <w:sz w:val="40"/>
          <w:szCs w:val="36"/>
        </w:rPr>
      </w:pPr>
      <w:r w:rsidRPr="000B07C9">
        <w:rPr>
          <w:rFonts w:hint="cs"/>
          <w:sz w:val="40"/>
          <w:szCs w:val="36"/>
          <w:rtl/>
        </w:rPr>
        <w:t xml:space="preserve">پس هر واسطه‌ای دو وجه دارد، وجهی که در آن رجوع به مبدأش می‌کند و اظهار فقر می‌کند </w:t>
      </w:r>
      <w:r w:rsidR="007E3895" w:rsidRPr="000B07C9">
        <w:rPr>
          <w:rFonts w:hint="cs"/>
          <w:sz w:val="40"/>
          <w:szCs w:val="36"/>
          <w:rtl/>
        </w:rPr>
        <w:t>-</w:t>
      </w:r>
      <w:r w:rsidRPr="000B07C9">
        <w:rPr>
          <w:rFonts w:hint="cs"/>
          <w:sz w:val="40"/>
          <w:szCs w:val="36"/>
          <w:rtl/>
        </w:rPr>
        <w:t>و حق اول از این وجه منزه است</w:t>
      </w:r>
      <w:r w:rsidR="007E3895" w:rsidRPr="000B07C9">
        <w:rPr>
          <w:rFonts w:hint="cs"/>
          <w:sz w:val="40"/>
          <w:szCs w:val="36"/>
          <w:rtl/>
        </w:rPr>
        <w:t>-</w:t>
      </w:r>
      <w:r w:rsidRPr="000B07C9">
        <w:rPr>
          <w:rFonts w:hint="cs"/>
          <w:sz w:val="40"/>
          <w:szCs w:val="36"/>
          <w:rtl/>
        </w:rPr>
        <w:t xml:space="preserve"> و وجهی که در آن مرتبه دونش را ولایت می‌کند و عالم طبیعت فاقد این وجه است چون مشتمل بر هیولا است که فقر محض است و فقط می‌تواند به مبدأش رجوع کند و نمی‌تواند سایه ولایت بر مرتبه‌ای داشته باشد چراکه خود در نهایت ذلت است. از این بیانات روشن می‌شود که موجود دون به وجهه ولایت موجود بالا توجه دارد و نه وجهه فقر او به مبدأ خودش و ولایت، باب اتیان بیوت است. </w:t>
      </w:r>
      <w:r w:rsidRPr="000B07C9">
        <w:rPr>
          <w:rFonts w:hint="cs"/>
          <w:szCs w:val="36"/>
          <w:rtl/>
        </w:rPr>
        <w:t xml:space="preserve">امیرمؤمنان </w:t>
      </w:r>
      <w:r w:rsidRPr="00122B12">
        <w:rPr>
          <w:rFonts w:hint="cs"/>
        </w:rPr>
        <w:sym w:font="علائم مذهبي" w:char="F02C"/>
      </w:r>
      <w:r w:rsidRPr="000B07C9">
        <w:rPr>
          <w:rFonts w:hint="cs"/>
          <w:szCs w:val="36"/>
          <w:rtl/>
        </w:rPr>
        <w:t xml:space="preserve"> باب رسول الله </w:t>
      </w:r>
      <w:r w:rsidRPr="000B07C9">
        <w:rPr>
          <w:rFonts w:cs="ALAEM" w:hint="cs"/>
          <w:szCs w:val="36"/>
          <w:rtl/>
        </w:rPr>
        <w:t>9</w:t>
      </w:r>
      <w:r w:rsidRPr="000B07C9">
        <w:rPr>
          <w:rFonts w:hint="cs"/>
          <w:szCs w:val="36"/>
          <w:rtl/>
        </w:rPr>
        <w:t xml:space="preserve">می‌باشند برای </w:t>
      </w:r>
      <w:r w:rsidRPr="000B07C9">
        <w:rPr>
          <w:rFonts w:hint="cs"/>
          <w:szCs w:val="36"/>
          <w:rtl/>
        </w:rPr>
        <w:lastRenderedPageBreak/>
        <w:t>سایرین</w:t>
      </w:r>
      <w:r w:rsidRPr="00122B12">
        <w:rPr>
          <w:rStyle w:val="FootnoteReference"/>
          <w:szCs w:val="36"/>
          <w:rtl/>
        </w:rPr>
        <w:footnoteReference w:id="11"/>
      </w:r>
      <w:r w:rsidRPr="000B07C9">
        <w:rPr>
          <w:rFonts w:hint="cs"/>
          <w:szCs w:val="36"/>
          <w:rtl/>
        </w:rPr>
        <w:t xml:space="preserve"> و منزلت ایشان می‌باشند در درگاه الهی</w:t>
      </w:r>
      <w:r w:rsidRPr="00122B12">
        <w:rPr>
          <w:rStyle w:val="FootnoteReference"/>
          <w:szCs w:val="36"/>
          <w:rtl/>
        </w:rPr>
        <w:footnoteReference w:id="12"/>
      </w:r>
      <w:r w:rsidRPr="000B07C9">
        <w:rPr>
          <w:rFonts w:hint="cs"/>
          <w:szCs w:val="36"/>
          <w:rtl/>
        </w:rPr>
        <w:t xml:space="preserve"> چراکه اظهار فقر معلول شفیع برای مبدأش چیزی جز توجیه فقر مراتب دونش به آن نیست و از اینجا روشن می‌شود که چرا عالم ملک و طبیعت در درگاه الهی، بی‌ارزش است</w:t>
      </w:r>
      <w:r w:rsidRPr="00122B12">
        <w:rPr>
          <w:rStyle w:val="FootnoteReference"/>
          <w:szCs w:val="36"/>
          <w:rtl/>
        </w:rPr>
        <w:footnoteReference w:id="13"/>
      </w:r>
      <w:r w:rsidRPr="000B07C9">
        <w:rPr>
          <w:rFonts w:hint="cs"/>
          <w:szCs w:val="36"/>
          <w:rtl/>
        </w:rPr>
        <w:t xml:space="preserve"> و مورد نظر عنایت و رحمت واقع نمی‌شود</w:t>
      </w:r>
      <w:r w:rsidRPr="00122B12">
        <w:rPr>
          <w:rStyle w:val="FootnoteReference"/>
          <w:szCs w:val="36"/>
          <w:rtl/>
        </w:rPr>
        <w:footnoteReference w:id="14"/>
      </w:r>
      <w:r w:rsidRPr="000B07C9">
        <w:rPr>
          <w:rFonts w:hint="cs"/>
          <w:szCs w:val="36"/>
          <w:rtl/>
        </w:rPr>
        <w:t xml:space="preserve"> و چرا تنها عالمی است که در آن معصیت، روی می‌دهد</w:t>
      </w:r>
      <w:r w:rsidRPr="00122B12">
        <w:rPr>
          <w:rStyle w:val="FootnoteReference"/>
          <w:szCs w:val="36"/>
        </w:rPr>
        <w:footnoteReference w:id="15"/>
      </w:r>
      <w:r w:rsidRPr="000B07C9">
        <w:rPr>
          <w:rFonts w:hint="cs"/>
          <w:szCs w:val="36"/>
          <w:rtl/>
        </w:rPr>
        <w:t xml:space="preserve"> چرا که این عالم، واسطه اظهار فقر هیچ عالمی نیست و صرفاً بستر اظهار فقر عوالم بالاتر است که در آن همه فعلیت و غنای عالم ظهور پیدا کرده است چون همه استعداد و قوه و فقر عالم در آن است</w:t>
      </w:r>
      <w:r w:rsidR="001548D0">
        <w:rPr>
          <w:rStyle w:val="FootnoteReference"/>
          <w:szCs w:val="36"/>
          <w:rtl/>
        </w:rPr>
        <w:footnoteReference w:id="16"/>
      </w:r>
      <w:r w:rsidRPr="000B07C9">
        <w:rPr>
          <w:rFonts w:hint="cs"/>
          <w:szCs w:val="36"/>
          <w:rtl/>
        </w:rPr>
        <w:t>.</w:t>
      </w:r>
    </w:p>
    <w:p w14:paraId="7591FACB" w14:textId="77777777" w:rsidR="007E5AA9" w:rsidRDefault="007E5AA9" w:rsidP="00FA52D7">
      <w:pPr>
        <w:pStyle w:val="ListParagraph"/>
        <w:numPr>
          <w:ilvl w:val="0"/>
          <w:numId w:val="7"/>
        </w:numPr>
        <w:rPr>
          <w:sz w:val="44"/>
          <w:szCs w:val="40"/>
        </w:rPr>
      </w:pPr>
      <w:r w:rsidRPr="00FA52D7">
        <w:rPr>
          <w:rFonts w:hint="cs"/>
          <w:szCs w:val="36"/>
          <w:rtl/>
        </w:rPr>
        <w:t>تأکید می‌شود که بیان‌های بالا (ظهور دین خدا در همه مراتب عالم (و از همه بالاتر در مرتبه عقل اول) و اختصاص ظهور آن در عالم ماده) که ناشی از دو اعتبار متفاوت است، یک خروجی سلوکی دارند و آن اینکه هر سالکی به مقدار توجه و اظهار بندگیش در آستانه ربوبیت خداوند و اولیای او رشد می‌کند و بهره می‌برد.</w:t>
      </w:r>
    </w:p>
    <w:p w14:paraId="522B83AC" w14:textId="49A06034" w:rsidR="00FA52D7" w:rsidRDefault="00FA52D7" w:rsidP="00FA52D7">
      <w:pPr>
        <w:pStyle w:val="ListParagraph"/>
        <w:numPr>
          <w:ilvl w:val="0"/>
          <w:numId w:val="7"/>
        </w:numPr>
        <w:rPr>
          <w:rFonts w:hint="cs"/>
          <w:sz w:val="44"/>
          <w:szCs w:val="40"/>
        </w:rPr>
      </w:pPr>
      <w:r>
        <w:rPr>
          <w:rFonts w:hint="cs"/>
          <w:sz w:val="44"/>
          <w:szCs w:val="40"/>
          <w:rtl/>
        </w:rPr>
        <w:lastRenderedPageBreak/>
        <w:t>نیز روشن می‌شود ارزش وساطت برای دیگران در قضای حوائج مادی یا تعلیم و یا هدایت ارشادی یا ایصالی و دعای حاجتمند قربتی است برای شفیع.</w:t>
      </w:r>
    </w:p>
    <w:p w14:paraId="25C675C2" w14:textId="69352A20" w:rsidR="00FA52D7" w:rsidRPr="00FA52D7" w:rsidRDefault="00FA52D7" w:rsidP="00FA52D7">
      <w:pPr>
        <w:pStyle w:val="ListParagraph"/>
        <w:ind w:left="360"/>
        <w:jc w:val="center"/>
        <w:rPr>
          <w:rFonts w:ascii="IranNastaliq" w:hAnsi="IranNastaliq" w:cs="IranNastaliq"/>
          <w:sz w:val="38"/>
          <w:szCs w:val="38"/>
        </w:rPr>
      </w:pPr>
      <w:r w:rsidRPr="00FA52D7">
        <w:rPr>
          <w:rFonts w:ascii="IranNastaliq" w:hAnsi="IranNastaliq" w:cs="IranNastaliq" w:hint="cs"/>
          <w:sz w:val="38"/>
          <w:szCs w:val="38"/>
          <w:rtl/>
        </w:rPr>
        <w:t>هر که یک جرعه می از دست تواند دادن            دست با شاهد مقصود در آغوشش باد</w:t>
      </w:r>
      <w:r>
        <w:rPr>
          <w:rStyle w:val="FootnoteReference"/>
          <w:rFonts w:ascii="IranNastaliq" w:hAnsi="IranNastaliq" w:cs="IranNastaliq"/>
          <w:sz w:val="38"/>
          <w:szCs w:val="38"/>
        </w:rPr>
        <w:footnoteReference w:id="17"/>
      </w:r>
    </w:p>
    <w:p w14:paraId="7C4F2AEA" w14:textId="36BB2505" w:rsidR="007E5AA9" w:rsidRPr="006F59F7" w:rsidRDefault="007E5AA9" w:rsidP="00FA52D7">
      <w:pPr>
        <w:pStyle w:val="ListParagraph"/>
        <w:numPr>
          <w:ilvl w:val="0"/>
          <w:numId w:val="7"/>
        </w:numPr>
        <w:rPr>
          <w:szCs w:val="36"/>
        </w:rPr>
      </w:pPr>
      <w:r w:rsidRPr="006F59F7">
        <w:rPr>
          <w:rFonts w:hint="cs"/>
          <w:szCs w:val="36"/>
          <w:rtl/>
        </w:rPr>
        <w:t>جمله ذیل متن منقول از المیزان یعنی «</w:t>
      </w:r>
      <w:r w:rsidRPr="006F59F7">
        <w:rPr>
          <w:sz w:val="40"/>
          <w:szCs w:val="36"/>
          <w:rtl/>
        </w:rPr>
        <w:t>أما العلم و العمل فإنما هما من لوازمها و أدواتها كما هو ظاهر إلا أن يطلق العلم و العمل على نفس هذه الحالة</w:t>
      </w:r>
      <w:r w:rsidRPr="006F59F7">
        <w:rPr>
          <w:rFonts w:hint="cs"/>
          <w:szCs w:val="36"/>
          <w:rtl/>
        </w:rPr>
        <w:t>» مربوط است به تحلیل‌های کینونیتی از علم و عمل و این تحلیل‌ها از مفهوم متحد با مصداق منتزع می‌شوند. مراتب تحلیل از علم و عمل می‌تواند در نسبت آنها با رؤیت فقر و فنا حکم به یگانگی یا دوگانگی بار آرد.</w:t>
      </w:r>
      <w:r>
        <w:rPr>
          <w:rStyle w:val="FootnoteReference"/>
          <w:szCs w:val="36"/>
          <w:rtl/>
        </w:rPr>
        <w:footnoteReference w:id="18"/>
      </w:r>
      <w:r w:rsidRPr="006F59F7">
        <w:rPr>
          <w:rFonts w:hint="cs"/>
          <w:szCs w:val="36"/>
          <w:rtl/>
        </w:rPr>
        <w:t xml:space="preserve">  البته برای سالک ضروری است تا به برکت مراقبه در اشتغ</w:t>
      </w:r>
      <w:r w:rsidR="003B2C2A">
        <w:rPr>
          <w:rFonts w:hint="cs"/>
          <w:szCs w:val="36"/>
          <w:rtl/>
        </w:rPr>
        <w:t>ا</w:t>
      </w:r>
      <w:r w:rsidRPr="006F59F7">
        <w:rPr>
          <w:rFonts w:hint="cs"/>
          <w:szCs w:val="36"/>
          <w:rtl/>
        </w:rPr>
        <w:t>لات علمیه و عملیه</w:t>
      </w:r>
      <w:r w:rsidR="003B2C2A">
        <w:rPr>
          <w:rFonts w:hint="cs"/>
          <w:szCs w:val="36"/>
          <w:rtl/>
        </w:rPr>
        <w:t>،</w:t>
      </w:r>
      <w:r w:rsidRPr="006F59F7">
        <w:rPr>
          <w:rFonts w:hint="cs"/>
          <w:szCs w:val="36"/>
          <w:rtl/>
        </w:rPr>
        <w:t xml:space="preserve"> خود با توجه به عمق حقیقت علم و عمل خودش راه تقرب را به پرواز درآید یعنی در متن تعلمات و تعملات خودش، خود را کنار زده و به توحید توجه کند. «</w:t>
      </w:r>
      <w:r w:rsidRPr="006F59F7">
        <w:rPr>
          <w:rFonts w:ascii="IRShiraz" w:hAnsi="IRShiraz" w:cs="IRShiraz"/>
          <w:sz w:val="40"/>
          <w:szCs w:val="36"/>
          <w:rtl/>
        </w:rPr>
        <w:t>إلهي أنا الفقير في غناي فكيف لا أكون فقيرا في فقري إلهي أنا الجاهل في علمي فكيف لا أكون جهولا في جهلي‏</w:t>
      </w:r>
      <w:r w:rsidRPr="006F59F7">
        <w:rPr>
          <w:rFonts w:ascii="IRShiraz" w:hAnsi="IRShiraz" w:cs="IRShiraz" w:hint="cs"/>
          <w:sz w:val="40"/>
          <w:szCs w:val="36"/>
          <w:rtl/>
        </w:rPr>
        <w:t xml:space="preserve">  .... </w:t>
      </w:r>
      <w:r w:rsidRPr="006F59F7">
        <w:rPr>
          <w:rFonts w:ascii="IRShiraz" w:hAnsi="IRShiraz" w:cs="IRShiraz"/>
          <w:sz w:val="40"/>
          <w:szCs w:val="36"/>
          <w:rtl/>
        </w:rPr>
        <w:t>إلهي إن ظهرت المحاسن مني فبفضلك و لك المنة علي‏</w:t>
      </w:r>
      <w:r w:rsidRPr="006F59F7">
        <w:rPr>
          <w:rFonts w:ascii="IRShiraz" w:hAnsi="IRShiraz" w:cs="IRShiraz" w:hint="cs"/>
          <w:sz w:val="40"/>
          <w:szCs w:val="36"/>
          <w:rtl/>
        </w:rPr>
        <w:t xml:space="preserve"> ....</w:t>
      </w:r>
      <w:r w:rsidRPr="006F59F7">
        <w:rPr>
          <w:rFonts w:ascii="IRShiraz" w:hAnsi="IRShiraz" w:cs="IRShiraz"/>
          <w:sz w:val="40"/>
          <w:szCs w:val="36"/>
          <w:rtl/>
        </w:rPr>
        <w:t xml:space="preserve"> ها أنا أتوسل إليك بفقري إليك و كيف أتوسل إليك بما هو محال أن يصل إليك أم كيف أشكو إليك حالي و هو لا يخفى عليك أم كيف أترجم بمقالي و هو منك برز إليك أم كيف تخيب آمالي و هي قد وفدت إليك أم كيف لا تحسن أحوالي و بك قامت‏</w:t>
      </w:r>
      <w:r w:rsidRPr="006F59F7">
        <w:rPr>
          <w:rFonts w:ascii="IRShiraz" w:hAnsi="IRShiraz" w:cs="IRShiraz" w:hint="cs"/>
          <w:sz w:val="40"/>
          <w:szCs w:val="36"/>
          <w:rtl/>
        </w:rPr>
        <w:t xml:space="preserve"> .... </w:t>
      </w:r>
      <w:r w:rsidRPr="006F59F7">
        <w:rPr>
          <w:rFonts w:ascii="IRShiraz" w:hAnsi="IRShiraz" w:cs="IRShiraz"/>
          <w:sz w:val="40"/>
          <w:szCs w:val="36"/>
          <w:rtl/>
        </w:rPr>
        <w:t>إلهي من كانت محاسنه مساوي فكيف لا يكون مساويه مساوي و من كانت حقائقه  دعاوي فكيف لا تكون دعاويه دعاوي إلهي حكمك النافذ و مشيتك القاهرة لم يتركا لذي مقال مقالا و لا لذي حال حالا إلهي كم من طاعة بنيتها و حالة شيدتها هدم اعتمادي عليها عدلك بل أقالني منها فضلك‏</w:t>
      </w:r>
      <w:r w:rsidRPr="006F59F7">
        <w:rPr>
          <w:rFonts w:ascii="IRShiraz" w:hAnsi="IRShiraz" w:cs="IRShiraz" w:hint="cs"/>
          <w:sz w:val="40"/>
          <w:szCs w:val="36"/>
          <w:rtl/>
        </w:rPr>
        <w:t xml:space="preserve"> ....</w:t>
      </w:r>
      <w:r w:rsidRPr="006F59F7">
        <w:rPr>
          <w:rFonts w:ascii="IRShiraz" w:hAnsi="IRShiraz" w:cs="IRShiraz"/>
          <w:sz w:val="40"/>
          <w:szCs w:val="36"/>
          <w:rtl/>
        </w:rPr>
        <w:t xml:space="preserve"> إلهي ترددي في </w:t>
      </w:r>
      <w:commentRangeStart w:id="0"/>
      <w:r w:rsidRPr="006F59F7">
        <w:rPr>
          <w:rFonts w:ascii="IRShiraz" w:hAnsi="IRShiraz" w:cs="IRShiraz"/>
          <w:sz w:val="40"/>
          <w:szCs w:val="36"/>
          <w:rtl/>
        </w:rPr>
        <w:t xml:space="preserve">الآثار </w:t>
      </w:r>
      <w:commentRangeEnd w:id="0"/>
      <w:r w:rsidRPr="000E68B7">
        <w:rPr>
          <w:rFonts w:ascii="IRShiraz" w:hAnsi="IRShiraz" w:cs="IRShiraz"/>
          <w:sz w:val="40"/>
          <w:rtl/>
        </w:rPr>
        <w:commentReference w:id="0"/>
      </w:r>
      <w:r w:rsidRPr="006F59F7">
        <w:rPr>
          <w:rFonts w:ascii="IRShiraz" w:hAnsi="IRShiraz" w:cs="IRShiraz"/>
          <w:sz w:val="40"/>
          <w:szCs w:val="36"/>
          <w:rtl/>
        </w:rPr>
        <w:t>يوجب بعد المزار فاجمعني عليك بخدمة توصلني إليك كيف‏</w:t>
      </w:r>
      <w:r w:rsidRPr="006F59F7">
        <w:rPr>
          <w:rFonts w:ascii="IRShiraz" w:hAnsi="IRShiraz" w:cs="IRShiraz" w:hint="cs"/>
          <w:sz w:val="40"/>
          <w:szCs w:val="36"/>
          <w:rtl/>
        </w:rPr>
        <w:t xml:space="preserve"> </w:t>
      </w:r>
      <w:r w:rsidRPr="006F59F7">
        <w:rPr>
          <w:rFonts w:ascii="IRShiraz" w:hAnsi="IRShiraz" w:cs="IRShiraz"/>
          <w:sz w:val="40"/>
          <w:szCs w:val="36"/>
          <w:rtl/>
        </w:rPr>
        <w:t xml:space="preserve">يستدل عليك بما هو في وجوده مفتقر إليك أ يكون لغيرك من الظهور ما ليس لك حتى يكون هو المظهر لك متى غبت حتى تحتاج إلى دليل يدل عليك و متى بعدت حتى تكون الآثار هي التي توصل إليك عميت عين لا تزال [تراك‏] عليها رقيبا و حسرت صفقة عبد لم تجعل له من حبك نصيبا إلهي أمرت بالرجوع إلى الآثار فأرجعني إليك بكسوة الأنوار و هداية الاستبصار حتى أرجع إليك منها </w:t>
      </w:r>
      <w:r w:rsidRPr="006F59F7">
        <w:rPr>
          <w:rFonts w:ascii="IRShiraz" w:hAnsi="IRShiraz" w:cs="IRShiraz"/>
          <w:sz w:val="40"/>
          <w:szCs w:val="36"/>
          <w:rtl/>
        </w:rPr>
        <w:lastRenderedPageBreak/>
        <w:t>كما دخلت إليك منها مصون السر عن النظر إليها و مرفوع الهمة عن الاعتماد عليها إنك على كل شي‏ء قدير إلهي هذا ذلي ظاهر بين يديك و هذا حالي لا يخفى عليك منك أطلب الوصول إليك و بك أستدل عليك فاهدني بنورك إليك و أقمني بصدق العبودية بين يديك إلهي علمني من علمك المخزون و صني بسرك [بسترك‏] المصون إلهي حققني بحقائق أهل القرب و اسلك بي مسلك أهل الجذب إلهي أقمني [أغنني‏] بتدبيرك لي عن تدبيري و اختيارك [و باختيارك‏] لي عن اختياري و أوقفني على مراكز اضطراري إلهي أخرجني من ذل نفسي و طهرني من شكي و شركي قبل حلول رمسي بك أنتصر فانصرني و عليك أتوكل فلا تكلني و إياك أسأل فلا تخيبني و في فضلك أرغب فلا تحرمني و بجنابك أنتسب فلا تبعدني و ببابك أقف فلا تطردني إلهي تقدس رضاك أن تكون له علة منك فكيف يكون له علة مني إلهي أنت الغني بذاتك أن يصل إليك النفع منك فكيف لا تكون غنيا عني إلهي إن القضاء و القدر يمنيني [يميتني‏] و إن الهواء بوثائق الشهوة أسرني فكن أنت النصير لي حتى تنصرني و تبصرني و أغنني بفضلك حتى أستغني بك عن طلبي‏</w:t>
      </w:r>
      <w:r w:rsidRPr="006F59F7">
        <w:rPr>
          <w:rFonts w:ascii="IRShiraz" w:hAnsi="IRShiraz" w:cs="IRShiraz" w:hint="cs"/>
          <w:sz w:val="40"/>
          <w:szCs w:val="36"/>
          <w:rtl/>
        </w:rPr>
        <w:t xml:space="preserve"> .... الخ</w:t>
      </w:r>
      <w:r>
        <w:rPr>
          <w:rStyle w:val="FootnoteReference"/>
          <w:szCs w:val="36"/>
          <w:rtl/>
        </w:rPr>
        <w:footnoteReference w:id="19"/>
      </w:r>
      <w:r w:rsidRPr="006F59F7">
        <w:rPr>
          <w:rFonts w:hint="cs"/>
          <w:szCs w:val="36"/>
          <w:rtl/>
        </w:rPr>
        <w:t>»</w:t>
      </w:r>
    </w:p>
    <w:p w14:paraId="042E45E0" w14:textId="77777777" w:rsidR="007E5AA9" w:rsidRPr="004C113F" w:rsidRDefault="007E5AA9" w:rsidP="007E5AA9">
      <w:pPr>
        <w:pStyle w:val="ListParagraph"/>
        <w:jc w:val="center"/>
        <w:rPr>
          <w:rFonts w:ascii="IranNastaliq" w:hAnsi="IranNastaliq" w:cs="IranNastaliq"/>
          <w:sz w:val="38"/>
          <w:szCs w:val="38"/>
        </w:rPr>
      </w:pPr>
      <w:r w:rsidRPr="004C113F">
        <w:rPr>
          <w:rFonts w:ascii="IranNastaliq" w:hAnsi="IranNastaliq" w:cs="IranNastaliq"/>
          <w:sz w:val="38"/>
          <w:szCs w:val="38"/>
          <w:rtl/>
        </w:rPr>
        <w:t>تكيه بر تقوى و</w:t>
      </w:r>
      <w:r>
        <w:rPr>
          <w:rFonts w:ascii="IranNastaliq" w:hAnsi="IranNastaliq" w:cs="IranNastaliq" w:hint="cs"/>
          <w:sz w:val="38"/>
          <w:szCs w:val="38"/>
          <w:rtl/>
        </w:rPr>
        <w:t xml:space="preserve"> د</w:t>
      </w:r>
      <w:r w:rsidRPr="004C113F">
        <w:rPr>
          <w:rFonts w:ascii="IranNastaliq" w:hAnsi="IranNastaliq" w:cs="IranNastaliq"/>
          <w:sz w:val="38"/>
          <w:szCs w:val="38"/>
          <w:rtl/>
        </w:rPr>
        <w:t>انش در طريقت، كافرى است             راهروگر صد هنر دارد، توكّل بايدش</w:t>
      </w:r>
      <w:r>
        <w:rPr>
          <w:rStyle w:val="FootnoteReference"/>
          <w:rFonts w:ascii="IranNastaliq" w:hAnsi="IranNastaliq" w:cs="IranNastaliq"/>
          <w:sz w:val="38"/>
          <w:szCs w:val="38"/>
          <w:rtl/>
        </w:rPr>
        <w:footnoteReference w:id="20"/>
      </w:r>
      <w:r w:rsidRPr="004C113F">
        <w:rPr>
          <w:rFonts w:ascii="IranNastaliq" w:hAnsi="IranNastaliq" w:cs="IranNastaliq"/>
          <w:sz w:val="38"/>
          <w:szCs w:val="38"/>
          <w:rtl/>
        </w:rPr>
        <w:t>‏</w:t>
      </w:r>
    </w:p>
    <w:p w14:paraId="1E646EE2" w14:textId="77777777" w:rsidR="00AE4E47" w:rsidRDefault="00AE4E47" w:rsidP="003B2C2A">
      <w:pPr>
        <w:rPr>
          <w:color w:val="FFFFFF" w:themeColor="background1"/>
          <w:szCs w:val="36"/>
          <w:highlight w:val="black"/>
          <w:rtl/>
        </w:rPr>
      </w:pPr>
    </w:p>
    <w:p w14:paraId="2C47C1FF" w14:textId="49D9EDED" w:rsidR="004C113F" w:rsidRPr="00AE4E47" w:rsidRDefault="00AE4E47" w:rsidP="003B2C2A">
      <w:pPr>
        <w:rPr>
          <w:color w:val="FFFFFF" w:themeColor="background1"/>
          <w:szCs w:val="36"/>
          <w:highlight w:val="black"/>
        </w:rPr>
      </w:pPr>
      <w:bookmarkStart w:id="1" w:name="_GoBack"/>
      <w:r w:rsidRPr="00AE4E47">
        <w:rPr>
          <w:rFonts w:hint="cs"/>
          <w:color w:val="FFFFFF" w:themeColor="background1"/>
          <w:szCs w:val="36"/>
          <w:highlight w:val="black"/>
          <w:rtl/>
        </w:rPr>
        <w:t xml:space="preserve">قضیه شرطیه، قضیه متصله، قضیه شرطیه منفصله، استدلال مباشر، حذف متعلقات فعل، ملائکه، شفاعت، توسل، تربیت شاگرد، ارزش قضای حوایج اخوان، ارزش تعلیم، ارزش هدایت، ارزش صلوات، مقامات معنوی رسول الله </w:t>
      </w:r>
      <w:r w:rsidRPr="00AE4E47">
        <w:rPr>
          <w:rFonts w:hint="cs"/>
          <w:color w:val="FFFFFF" w:themeColor="background1"/>
          <w:szCs w:val="36"/>
          <w:highlight w:val="black"/>
        </w:rPr>
        <w:sym w:font="علائم مذهبي" w:char="F032"/>
      </w:r>
      <w:r w:rsidRPr="00AE4E47">
        <w:rPr>
          <w:rFonts w:hint="cs"/>
          <w:color w:val="FFFFFF" w:themeColor="background1"/>
          <w:szCs w:val="36"/>
          <w:highlight w:val="black"/>
          <w:rtl/>
        </w:rPr>
        <w:t>، مقامات معنوی  امیرمؤمنان</w:t>
      </w:r>
      <w:r w:rsidRPr="00AE4E47">
        <w:rPr>
          <w:rFonts w:hint="cs"/>
          <w:color w:val="FFFFFF" w:themeColor="background1"/>
          <w:szCs w:val="36"/>
          <w:highlight w:val="black"/>
        </w:rPr>
        <w:sym w:font="علائم مذهبي" w:char="F02C"/>
      </w:r>
      <w:r>
        <w:rPr>
          <w:rFonts w:hint="cs"/>
          <w:color w:val="FFFFFF" w:themeColor="background1"/>
          <w:szCs w:val="36"/>
          <w:highlight w:val="black"/>
          <w:rtl/>
        </w:rPr>
        <w:t>، ولایت، عوالم وجود</w:t>
      </w:r>
      <w:r w:rsidRPr="00AE4E47">
        <w:rPr>
          <w:rFonts w:hint="cs"/>
          <w:color w:val="FFFFFF" w:themeColor="background1"/>
          <w:szCs w:val="36"/>
          <w:highlight w:val="black"/>
          <w:rtl/>
        </w:rPr>
        <w:t xml:space="preserve"> ، دنیا</w:t>
      </w:r>
      <w:bookmarkEnd w:id="1"/>
    </w:p>
    <w:sectPr w:rsidR="004C113F" w:rsidRPr="00AE4E4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ya Ali" w:date="2025-04-09T14:49:00Z" w:initials="yA">
    <w:p w14:paraId="7E3B6761" w14:textId="77777777" w:rsidR="007E5AA9" w:rsidRPr="00AA2354" w:rsidRDefault="007E5AA9" w:rsidP="007E5AA9">
      <w:pPr>
        <w:pStyle w:val="CommentText"/>
        <w:rPr>
          <w:sz w:val="28"/>
          <w:szCs w:val="28"/>
        </w:rPr>
      </w:pPr>
      <w:r w:rsidRPr="00AA2354">
        <w:rPr>
          <w:rStyle w:val="CommentReference"/>
          <w:sz w:val="28"/>
          <w:szCs w:val="28"/>
        </w:rPr>
        <w:annotationRef/>
      </w:r>
      <w:r w:rsidRPr="00AA2354">
        <w:rPr>
          <w:rFonts w:hint="cs"/>
          <w:sz w:val="28"/>
          <w:szCs w:val="28"/>
          <w:rtl/>
        </w:rPr>
        <w:t>در شمول آثار، تشریعات و اعتباریات را تأمل است.</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3B676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39137" w14:textId="77777777" w:rsidR="001C7297" w:rsidRDefault="001C7297" w:rsidP="00A22E6A">
      <w:r>
        <w:separator/>
      </w:r>
    </w:p>
  </w:endnote>
  <w:endnote w:type="continuationSeparator" w:id="0">
    <w:p w14:paraId="223678BC" w14:textId="77777777" w:rsidR="001C7297" w:rsidRDefault="001C7297" w:rsidP="00A2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RBadr">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IRTitr">
    <w:panose1 w:val="02000506000000020002"/>
    <w:charset w:val="00"/>
    <w:family w:val="auto"/>
    <w:pitch w:val="variable"/>
    <w:sig w:usb0="00002003" w:usb1="00000000" w:usb2="00000000" w:usb3="00000000" w:csb0="00000041" w:csb1="00000000"/>
  </w:font>
  <w:font w:name="Segoe UI">
    <w:panose1 w:val="020B0502040204020203"/>
    <w:charset w:val="00"/>
    <w:family w:val="swiss"/>
    <w:pitch w:val="variable"/>
    <w:sig w:usb0="E10022FF" w:usb1="C000E47F" w:usb2="00000029" w:usb3="00000000" w:csb0="000001DF" w:csb1="00000000"/>
  </w:font>
  <w:font w:name="IRNazanin">
    <w:panose1 w:val="02000506000000020002"/>
    <w:charset w:val="00"/>
    <w:family w:val="auto"/>
    <w:pitch w:val="variable"/>
    <w:sig w:usb0="00002003" w:usb1="00000000" w:usb2="00000000" w:usb3="00000000" w:csb0="00000041" w:csb1="00000000"/>
  </w:font>
  <w:font w:name="علائم مذهبي">
    <w:panose1 w:val="00000000000000000000"/>
    <w:charset w:val="02"/>
    <w:family w:val="auto"/>
    <w:pitch w:val="variable"/>
    <w:sig w:usb0="00000000" w:usb1="10000000" w:usb2="00000000" w:usb3="00000000" w:csb0="80000000" w:csb1="00000000"/>
  </w:font>
  <w:font w:name="QuranTaha">
    <w:panose1 w:val="0201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ALAEM">
    <w:panose1 w:val="00000500000000020004"/>
    <w:charset w:val="B2"/>
    <w:family w:val="auto"/>
    <w:pitch w:val="variable"/>
    <w:sig w:usb0="00002001" w:usb1="90000000" w:usb2="00000008" w:usb3="00000000" w:csb0="80000040" w:csb1="00000000"/>
  </w:font>
  <w:font w:name="IranNastaliq">
    <w:panose1 w:val="02020505000000020003"/>
    <w:charset w:val="00"/>
    <w:family w:val="roman"/>
    <w:pitch w:val="variable"/>
    <w:sig w:usb0="61002A87" w:usb1="80000000" w:usb2="00000008" w:usb3="00000000" w:csb0="000101FF" w:csb1="00000000"/>
  </w:font>
  <w:font w:name="IRShiraz">
    <w:panose1 w:val="02000503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A39E4" w14:textId="77777777" w:rsidR="001C7297" w:rsidRDefault="001C7297" w:rsidP="00A22E6A">
      <w:r>
        <w:separator/>
      </w:r>
    </w:p>
  </w:footnote>
  <w:footnote w:type="continuationSeparator" w:id="0">
    <w:p w14:paraId="751C942B" w14:textId="77777777" w:rsidR="001C7297" w:rsidRDefault="001C7297" w:rsidP="00A22E6A">
      <w:r>
        <w:continuationSeparator/>
      </w:r>
    </w:p>
  </w:footnote>
  <w:footnote w:id="1">
    <w:p w14:paraId="64F4E713" w14:textId="77777777" w:rsidR="00CA1F2A" w:rsidRPr="00E41CCC" w:rsidRDefault="00CA1F2A">
      <w:pPr>
        <w:pStyle w:val="FootnoteText"/>
        <w:rPr>
          <w:rStyle w:val="FootnoteReference"/>
          <w:rFonts w:ascii="IRLotus" w:hAnsi="IRLotus" w:cs="IRLotus"/>
          <w:sz w:val="26"/>
          <w:szCs w:val="26"/>
          <w:vertAlign w:val="baseline"/>
        </w:rPr>
      </w:pPr>
      <w:r w:rsidRPr="00E41CCC">
        <w:rPr>
          <w:rStyle w:val="FootnoteReference"/>
          <w:rFonts w:ascii="IRLotus" w:hAnsi="IRLotus" w:cs="IRLotus"/>
          <w:sz w:val="26"/>
          <w:szCs w:val="26"/>
          <w:vertAlign w:val="baseline"/>
        </w:rPr>
        <w:footnoteRef/>
      </w:r>
      <w:r w:rsidRPr="00E41CCC">
        <w:rPr>
          <w:rStyle w:val="FootnoteReference"/>
          <w:rFonts w:ascii="IRLotus" w:hAnsi="IRLotus" w:cs="IRLotus"/>
          <w:sz w:val="26"/>
          <w:szCs w:val="26"/>
          <w:vertAlign w:val="baseline"/>
          <w:rtl/>
        </w:rPr>
        <w:t xml:space="preserve"> </w:t>
      </w:r>
      <w:r w:rsidRPr="00E41CCC">
        <w:rPr>
          <w:rStyle w:val="FootnoteReference"/>
          <w:rFonts w:ascii="IRLotus" w:hAnsi="IRLotus" w:cs="IRLotus" w:hint="cs"/>
          <w:sz w:val="26"/>
          <w:szCs w:val="26"/>
          <w:vertAlign w:val="baseline"/>
          <w:rtl/>
        </w:rPr>
        <w:t xml:space="preserve">. </w:t>
      </w:r>
      <w:r w:rsidRPr="00E41CCC">
        <w:rPr>
          <w:rStyle w:val="FootnoteReference"/>
          <w:rFonts w:ascii="IRLotus" w:hAnsi="IRLotus" w:cs="IRLotus"/>
          <w:sz w:val="26"/>
          <w:szCs w:val="26"/>
          <w:vertAlign w:val="baseline"/>
          <w:rtl/>
        </w:rPr>
        <w:t>المائدة: 35</w:t>
      </w:r>
    </w:p>
  </w:footnote>
  <w:footnote w:id="2">
    <w:p w14:paraId="22519FB1" w14:textId="4629A70A" w:rsidR="00CA1F2A" w:rsidRPr="00EB5C2D" w:rsidRDefault="00CA1F2A" w:rsidP="000B07C9">
      <w:pPr>
        <w:pStyle w:val="FootnoteText"/>
        <w:rPr>
          <w:rStyle w:val="FootnoteReference"/>
          <w:rFonts w:ascii="IRLotus" w:hAnsi="IRLotus" w:cs="IRLotus" w:hint="cs"/>
          <w:sz w:val="26"/>
          <w:szCs w:val="26"/>
          <w:vertAlign w:val="baseline"/>
          <w:rtl/>
          <w:lang w:bidi="fa-IR"/>
        </w:rPr>
      </w:pPr>
      <w:r w:rsidRPr="00EB5C2D">
        <w:rPr>
          <w:rStyle w:val="FootnoteReference"/>
          <w:rFonts w:ascii="IRLotus" w:hAnsi="IRLotus" w:cs="IRLotus"/>
          <w:sz w:val="26"/>
          <w:szCs w:val="26"/>
          <w:vertAlign w:val="baseline"/>
        </w:rPr>
        <w:footnoteRef/>
      </w:r>
      <w:r w:rsidRPr="00EB5C2D">
        <w:rPr>
          <w:rStyle w:val="FootnoteReference"/>
          <w:rFonts w:ascii="IRLotus" w:hAnsi="IRLotus" w:cs="IRLotus"/>
          <w:sz w:val="26"/>
          <w:szCs w:val="26"/>
          <w:vertAlign w:val="baseline"/>
          <w:rtl/>
        </w:rPr>
        <w:t xml:space="preserve"> </w:t>
      </w:r>
      <w:r w:rsidRPr="00EB5C2D">
        <w:rPr>
          <w:rStyle w:val="FootnoteReference"/>
          <w:rFonts w:ascii="IRLotus" w:hAnsi="IRLotus" w:cs="IRLotus" w:hint="cs"/>
          <w:sz w:val="26"/>
          <w:szCs w:val="26"/>
          <w:vertAlign w:val="baseline"/>
          <w:rtl/>
        </w:rPr>
        <w:t xml:space="preserve">. </w:t>
      </w:r>
      <w:r w:rsidRPr="00EB5C2D">
        <w:rPr>
          <w:rStyle w:val="FootnoteReference"/>
          <w:rFonts w:ascii="IRLotus" w:hAnsi="IRLotus" w:cs="IRLotus"/>
          <w:sz w:val="26"/>
          <w:szCs w:val="26"/>
          <w:vertAlign w:val="baseline"/>
          <w:rtl/>
        </w:rPr>
        <w:t>صحيح مسلم: 1/ 289/ 11</w:t>
      </w:r>
      <w:r w:rsidR="000B07C9">
        <w:rPr>
          <w:rStyle w:val="FootnoteReference"/>
          <w:rFonts w:ascii="IRLotus" w:hAnsi="IRLotus" w:cs="IRLotus" w:hint="cs"/>
          <w:sz w:val="26"/>
          <w:szCs w:val="26"/>
          <w:vertAlign w:val="baseline"/>
          <w:rtl/>
          <w:lang w:bidi="fa-IR"/>
        </w:rPr>
        <w:t xml:space="preserve"> و في حديث آخر: «</w:t>
      </w:r>
      <w:r w:rsidR="000B07C9" w:rsidRPr="000B07C9">
        <w:rPr>
          <w:rStyle w:val="FootnoteReference"/>
          <w:rFonts w:ascii="IRLotus" w:hAnsi="IRLotus" w:cs="IRLotus"/>
          <w:sz w:val="26"/>
          <w:szCs w:val="26"/>
          <w:vertAlign w:val="baseline"/>
          <w:rtl/>
          <w:lang w:bidi="fa-IR"/>
        </w:rPr>
        <w:t>عن النبي ص قال: إذا سمعتم المؤذن فقولوا كما يقول ثم صلوا علي فمن صلى علي صلاة صلى الله عليه بها عشرا ثم سلوا [لي‏] « (1)» الوسيلة فإنها منزلة في الجنة لا تنبغي أن تكون [إلا] « (2)» لعبد من عباد الله و أنا أرجو أن أكون أنا هو</w:t>
      </w:r>
      <w:r w:rsidR="000B07C9">
        <w:rPr>
          <w:rStyle w:val="FootnoteReference"/>
          <w:rFonts w:ascii="IRLotus" w:hAnsi="IRLotus" w:cs="IRLotus" w:hint="cs"/>
          <w:sz w:val="26"/>
          <w:szCs w:val="26"/>
          <w:vertAlign w:val="baseline"/>
          <w:rtl/>
          <w:lang w:bidi="fa-IR"/>
        </w:rPr>
        <w:t>» (</w:t>
      </w:r>
      <w:r w:rsidR="000B07C9" w:rsidRPr="000B07C9">
        <w:rPr>
          <w:rStyle w:val="FootnoteReference"/>
          <w:rFonts w:ascii="IRLotus" w:hAnsi="IRLotus" w:cs="IRLotus"/>
          <w:sz w:val="26"/>
          <w:szCs w:val="26"/>
          <w:vertAlign w:val="baseline"/>
          <w:rtl/>
          <w:lang w:bidi="fa-IR"/>
        </w:rPr>
        <w:t>مستدرك الوسائل و مستنبط المسائل، ج‏4، ص: 61</w:t>
      </w:r>
      <w:r w:rsidR="000B07C9">
        <w:rPr>
          <w:rStyle w:val="FootnoteReference"/>
          <w:rFonts w:ascii="IRLotus" w:hAnsi="IRLotus" w:cs="IRLotus" w:hint="cs"/>
          <w:sz w:val="26"/>
          <w:szCs w:val="26"/>
          <w:vertAlign w:val="baseline"/>
          <w:rtl/>
          <w:lang w:bidi="fa-IR"/>
        </w:rPr>
        <w:t>)</w:t>
      </w:r>
    </w:p>
  </w:footnote>
  <w:footnote w:id="3">
    <w:p w14:paraId="30681056" w14:textId="77777777" w:rsidR="00CA1F2A" w:rsidRPr="00EB5C2D" w:rsidRDefault="00CA1F2A">
      <w:pPr>
        <w:pStyle w:val="FootnoteText"/>
        <w:rPr>
          <w:rStyle w:val="FootnoteReference"/>
          <w:rFonts w:ascii="IRLotus" w:hAnsi="IRLotus" w:cs="IRLotus"/>
          <w:sz w:val="26"/>
          <w:szCs w:val="26"/>
          <w:vertAlign w:val="baseline"/>
        </w:rPr>
      </w:pPr>
      <w:r w:rsidRPr="00EB5C2D">
        <w:rPr>
          <w:rStyle w:val="FootnoteReference"/>
          <w:rFonts w:ascii="IRLotus" w:hAnsi="IRLotus" w:cs="IRLotus"/>
          <w:sz w:val="26"/>
          <w:szCs w:val="26"/>
          <w:vertAlign w:val="baseline"/>
        </w:rPr>
        <w:footnoteRef/>
      </w:r>
      <w:r w:rsidRPr="00EB5C2D">
        <w:rPr>
          <w:rStyle w:val="FootnoteReference"/>
          <w:rFonts w:ascii="IRLotus" w:hAnsi="IRLotus" w:cs="IRLotus"/>
          <w:sz w:val="26"/>
          <w:szCs w:val="26"/>
          <w:vertAlign w:val="baseline"/>
          <w:rtl/>
        </w:rPr>
        <w:t xml:space="preserve"> </w:t>
      </w:r>
      <w:r w:rsidRPr="00EB5C2D">
        <w:rPr>
          <w:rStyle w:val="FootnoteReference"/>
          <w:rFonts w:ascii="IRLotus" w:hAnsi="IRLotus" w:cs="IRLotus" w:hint="cs"/>
          <w:sz w:val="26"/>
          <w:szCs w:val="26"/>
          <w:vertAlign w:val="baseline"/>
          <w:rtl/>
        </w:rPr>
        <w:t xml:space="preserve">. </w:t>
      </w:r>
      <w:r w:rsidRPr="00EB5C2D">
        <w:rPr>
          <w:rStyle w:val="FootnoteReference"/>
          <w:rFonts w:ascii="IRLotus" w:hAnsi="IRLotus" w:cs="IRLotus"/>
          <w:sz w:val="26"/>
          <w:szCs w:val="26"/>
          <w:vertAlign w:val="baseline"/>
          <w:rtl/>
        </w:rPr>
        <w:t>كنز العمّال: 39071.</w:t>
      </w:r>
    </w:p>
  </w:footnote>
  <w:footnote w:id="4">
    <w:p w14:paraId="23476E36" w14:textId="77777777" w:rsidR="00CA1F2A" w:rsidRPr="00EB5C2D" w:rsidRDefault="00CA1F2A">
      <w:pPr>
        <w:pStyle w:val="FootnoteText"/>
        <w:rPr>
          <w:rStyle w:val="FootnoteReference"/>
          <w:rFonts w:ascii="IRLotus" w:hAnsi="IRLotus" w:cs="IRLotus"/>
          <w:sz w:val="26"/>
          <w:szCs w:val="26"/>
          <w:vertAlign w:val="baseline"/>
        </w:rPr>
      </w:pPr>
      <w:r w:rsidRPr="00EB5C2D">
        <w:rPr>
          <w:rStyle w:val="FootnoteReference"/>
          <w:rFonts w:ascii="IRLotus" w:hAnsi="IRLotus" w:cs="IRLotus"/>
          <w:sz w:val="26"/>
          <w:szCs w:val="26"/>
          <w:vertAlign w:val="baseline"/>
        </w:rPr>
        <w:footnoteRef/>
      </w:r>
      <w:r w:rsidRPr="00EB5C2D">
        <w:rPr>
          <w:rStyle w:val="FootnoteReference"/>
          <w:rFonts w:ascii="IRLotus" w:hAnsi="IRLotus" w:cs="IRLotus"/>
          <w:sz w:val="26"/>
          <w:szCs w:val="26"/>
          <w:vertAlign w:val="baseline"/>
          <w:rtl/>
        </w:rPr>
        <w:t xml:space="preserve"> </w:t>
      </w:r>
      <w:r w:rsidRPr="00EB5C2D">
        <w:rPr>
          <w:rStyle w:val="FootnoteReference"/>
          <w:rFonts w:ascii="IRLotus" w:hAnsi="IRLotus" w:cs="IRLotus" w:hint="cs"/>
          <w:sz w:val="26"/>
          <w:szCs w:val="26"/>
          <w:vertAlign w:val="baseline"/>
          <w:rtl/>
        </w:rPr>
        <w:t xml:space="preserve">. </w:t>
      </w:r>
      <w:r w:rsidRPr="00EB5C2D">
        <w:rPr>
          <w:rStyle w:val="FootnoteReference"/>
          <w:rFonts w:ascii="IRLotus" w:hAnsi="IRLotus" w:cs="IRLotus"/>
          <w:sz w:val="26"/>
          <w:szCs w:val="26"/>
          <w:vertAlign w:val="baseline"/>
          <w:rtl/>
        </w:rPr>
        <w:t>علل الشرائع: 164/ 6</w:t>
      </w:r>
    </w:p>
  </w:footnote>
  <w:footnote w:id="5">
    <w:p w14:paraId="065BE596" w14:textId="77777777" w:rsidR="00CA1F2A" w:rsidRPr="00EB5C2D" w:rsidRDefault="00CA1F2A">
      <w:pPr>
        <w:pStyle w:val="FootnoteText"/>
        <w:rPr>
          <w:rStyle w:val="FootnoteReference"/>
          <w:rFonts w:ascii="IRLotus" w:hAnsi="IRLotus" w:cs="IRLotus"/>
          <w:sz w:val="26"/>
          <w:szCs w:val="26"/>
          <w:vertAlign w:val="baseline"/>
        </w:rPr>
      </w:pPr>
      <w:r w:rsidRPr="00EB5C2D">
        <w:rPr>
          <w:rStyle w:val="FootnoteReference"/>
          <w:rFonts w:ascii="IRLotus" w:hAnsi="IRLotus" w:cs="IRLotus"/>
          <w:sz w:val="26"/>
          <w:szCs w:val="26"/>
          <w:vertAlign w:val="baseline"/>
        </w:rPr>
        <w:footnoteRef/>
      </w:r>
      <w:r w:rsidRPr="00EB5C2D">
        <w:rPr>
          <w:rStyle w:val="FootnoteReference"/>
          <w:rFonts w:ascii="IRLotus" w:hAnsi="IRLotus" w:cs="IRLotus"/>
          <w:sz w:val="26"/>
          <w:szCs w:val="26"/>
          <w:vertAlign w:val="baseline"/>
          <w:rtl/>
        </w:rPr>
        <w:t xml:space="preserve"> </w:t>
      </w:r>
      <w:r w:rsidRPr="00EB5C2D">
        <w:rPr>
          <w:rStyle w:val="FootnoteReference"/>
          <w:rFonts w:ascii="IRLotus" w:hAnsi="IRLotus" w:cs="IRLotus" w:hint="cs"/>
          <w:sz w:val="26"/>
          <w:szCs w:val="26"/>
          <w:vertAlign w:val="baseline"/>
          <w:rtl/>
        </w:rPr>
        <w:t xml:space="preserve">. </w:t>
      </w:r>
      <w:r w:rsidRPr="00EB5C2D">
        <w:rPr>
          <w:rStyle w:val="FootnoteReference"/>
          <w:rFonts w:ascii="IRLotus" w:hAnsi="IRLotus" w:cs="IRLotus"/>
          <w:sz w:val="26"/>
          <w:szCs w:val="26"/>
          <w:vertAlign w:val="baseline"/>
          <w:rtl/>
        </w:rPr>
        <w:t>الكافي: 8/ 24/ 4</w:t>
      </w:r>
    </w:p>
  </w:footnote>
  <w:footnote w:id="6">
    <w:p w14:paraId="0E83686A" w14:textId="77777777" w:rsidR="00CA1F2A" w:rsidRPr="00EB5C2D" w:rsidRDefault="00CA1F2A">
      <w:pPr>
        <w:pStyle w:val="FootnoteText"/>
        <w:rPr>
          <w:rStyle w:val="FootnoteReference"/>
          <w:rFonts w:ascii="IRLotus" w:hAnsi="IRLotus" w:cs="IRLotus"/>
          <w:sz w:val="26"/>
          <w:szCs w:val="26"/>
          <w:vertAlign w:val="baseline"/>
          <w:rtl/>
        </w:rPr>
      </w:pPr>
      <w:r w:rsidRPr="00EB5C2D">
        <w:rPr>
          <w:rStyle w:val="FootnoteReference"/>
          <w:rFonts w:ascii="IRLotus" w:hAnsi="IRLotus" w:cs="IRLotus"/>
          <w:sz w:val="26"/>
          <w:szCs w:val="26"/>
          <w:vertAlign w:val="baseline"/>
        </w:rPr>
        <w:footnoteRef/>
      </w:r>
      <w:r w:rsidRPr="00EB5C2D">
        <w:rPr>
          <w:rStyle w:val="FootnoteReference"/>
          <w:rFonts w:ascii="IRLotus" w:hAnsi="IRLotus" w:cs="IRLotus"/>
          <w:sz w:val="26"/>
          <w:szCs w:val="26"/>
          <w:vertAlign w:val="baseline"/>
          <w:rtl/>
        </w:rPr>
        <w:t xml:space="preserve"> </w:t>
      </w:r>
      <w:r w:rsidRPr="00EB5C2D">
        <w:rPr>
          <w:rStyle w:val="FootnoteReference"/>
          <w:rFonts w:ascii="IRLotus" w:hAnsi="IRLotus" w:cs="IRLotus" w:hint="cs"/>
          <w:sz w:val="26"/>
          <w:szCs w:val="26"/>
          <w:vertAlign w:val="baseline"/>
          <w:rtl/>
        </w:rPr>
        <w:t>.</w:t>
      </w:r>
      <w:r w:rsidRPr="00EB5C2D">
        <w:rPr>
          <w:rStyle w:val="FootnoteReference"/>
          <w:rFonts w:ascii="IRLotus" w:hAnsi="IRLotus" w:cs="IRLotus"/>
          <w:sz w:val="26"/>
          <w:szCs w:val="26"/>
          <w:vertAlign w:val="baseline"/>
          <w:rtl/>
        </w:rPr>
        <w:t xml:space="preserve"> المناقب لابن شهر آشوب: 3/ 75</w:t>
      </w:r>
    </w:p>
  </w:footnote>
  <w:footnote w:id="7">
    <w:p w14:paraId="62495178" w14:textId="77777777" w:rsidR="00CA1F2A" w:rsidRDefault="00CA1F2A" w:rsidP="00EB5C2D">
      <w:pPr>
        <w:pStyle w:val="NormalWeb"/>
        <w:bidi/>
        <w:spacing w:before="0" w:beforeAutospacing="0"/>
        <w:jc w:val="both"/>
        <w:rPr>
          <w:rtl/>
        </w:rPr>
      </w:pPr>
      <w:r>
        <w:rPr>
          <w:rStyle w:val="FootnoteReference"/>
        </w:rPr>
        <w:footnoteRef/>
      </w:r>
      <w:r>
        <w:rPr>
          <w:rtl/>
        </w:rPr>
        <w:t xml:space="preserve"> </w:t>
      </w:r>
      <w:r>
        <w:rPr>
          <w:rFonts w:hint="cs"/>
          <w:rtl/>
        </w:rPr>
        <w:t xml:space="preserve">. </w:t>
      </w:r>
      <w:r w:rsidRPr="00EB5C2D">
        <w:rPr>
          <w:rStyle w:val="FootnoteReference"/>
          <w:rFonts w:ascii="IRLotus" w:eastAsiaTheme="minorHAnsi" w:hAnsi="IRLotus" w:cs="IRLotus" w:hint="cs"/>
          <w:sz w:val="26"/>
          <w:szCs w:val="26"/>
          <w:vertAlign w:val="baseline"/>
          <w:rtl/>
          <w:lang w:bidi="ar-SA"/>
        </w:rPr>
        <w:t>عيون أخبار الرِّضا: 2/ 58/ 217.</w:t>
      </w:r>
    </w:p>
  </w:footnote>
  <w:footnote w:id="8">
    <w:p w14:paraId="31C753D1" w14:textId="77777777" w:rsidR="004156AC" w:rsidRPr="0021665D" w:rsidRDefault="004156AC" w:rsidP="00221E2C">
      <w:pPr>
        <w:pStyle w:val="FootnoteText"/>
        <w:rPr>
          <w:rFonts w:ascii="IRBadr" w:hAnsi="IRBadr" w:cs="IRBadr"/>
          <w:sz w:val="24"/>
          <w:szCs w:val="24"/>
          <w:rtl/>
          <w:lang w:bidi="fa-IR"/>
        </w:rPr>
      </w:pPr>
      <w:r w:rsidRPr="0021665D">
        <w:rPr>
          <w:rStyle w:val="FootnoteReference"/>
          <w:rFonts w:ascii="IRBadr" w:hAnsi="IRBadr" w:cs="IRBadr"/>
          <w:sz w:val="24"/>
          <w:szCs w:val="24"/>
        </w:rPr>
        <w:footnoteRef/>
      </w:r>
      <w:r w:rsidRPr="0021665D">
        <w:rPr>
          <w:rFonts w:ascii="IRBadr" w:hAnsi="IRBadr" w:cs="IRBadr"/>
          <w:sz w:val="24"/>
          <w:szCs w:val="24"/>
          <w:rtl/>
        </w:rPr>
        <w:t xml:space="preserve"> </w:t>
      </w:r>
      <w:r w:rsidRPr="0021665D">
        <w:rPr>
          <w:rFonts w:ascii="IRBadr" w:hAnsi="IRBadr" w:cs="IRBadr"/>
          <w:sz w:val="24"/>
          <w:szCs w:val="24"/>
          <w:rtl/>
          <w:lang w:bidi="fa-IR"/>
        </w:rPr>
        <w:t xml:space="preserve">. </w:t>
      </w:r>
      <w:r w:rsidR="00221E2C">
        <w:rPr>
          <w:rFonts w:ascii="IRBadr" w:hAnsi="IRBadr" w:cs="IRBadr" w:hint="cs"/>
          <w:sz w:val="24"/>
          <w:szCs w:val="24"/>
          <w:rtl/>
          <w:lang w:bidi="fa-IR"/>
        </w:rPr>
        <w:t>ه</w:t>
      </w:r>
      <w:r w:rsidRPr="0021665D">
        <w:rPr>
          <w:rFonts w:ascii="IRBadr" w:hAnsi="IRBadr" w:cs="IRBadr"/>
          <w:sz w:val="24"/>
          <w:szCs w:val="24"/>
          <w:rtl/>
          <w:lang w:bidi="fa-IR"/>
        </w:rPr>
        <w:t xml:space="preserve">نا </w:t>
      </w:r>
      <w:r w:rsidR="00221E2C">
        <w:rPr>
          <w:rFonts w:ascii="IRBadr" w:hAnsi="IRBadr" w:cs="IRBadr" w:hint="cs"/>
          <w:sz w:val="24"/>
          <w:szCs w:val="24"/>
          <w:rtl/>
          <w:lang w:bidi="fa-IR"/>
        </w:rPr>
        <w:t>تمام</w:t>
      </w:r>
      <w:r w:rsidRPr="0021665D">
        <w:rPr>
          <w:rFonts w:ascii="IRBadr" w:hAnsi="IRBadr" w:cs="IRBadr"/>
          <w:sz w:val="24"/>
          <w:szCs w:val="24"/>
          <w:rtl/>
          <w:lang w:bidi="fa-IR"/>
        </w:rPr>
        <w:t xml:space="preserve"> کلام الراغب و </w:t>
      </w:r>
      <w:r w:rsidR="00221E2C">
        <w:rPr>
          <w:rFonts w:ascii="IRBadr" w:hAnsi="IRBadr" w:cs="IRBadr" w:hint="cs"/>
          <w:sz w:val="24"/>
          <w:szCs w:val="24"/>
          <w:rtl/>
          <w:lang w:bidi="fa-IR"/>
        </w:rPr>
        <w:t>راجع</w:t>
      </w:r>
      <w:r w:rsidRPr="0021665D">
        <w:rPr>
          <w:rFonts w:ascii="IRBadr" w:hAnsi="IRBadr" w:cs="IRBadr"/>
          <w:sz w:val="24"/>
          <w:szCs w:val="24"/>
          <w:rtl/>
          <w:lang w:bidi="fa-IR"/>
        </w:rPr>
        <w:t xml:space="preserve"> مفرداته/871.</w:t>
      </w:r>
    </w:p>
  </w:footnote>
  <w:footnote w:id="9">
    <w:p w14:paraId="7DF860B1" w14:textId="64A2B6BD" w:rsidR="005971F9" w:rsidRPr="005971F9" w:rsidRDefault="005971F9" w:rsidP="00394B42">
      <w:pPr>
        <w:pStyle w:val="FootnoteText"/>
        <w:rPr>
          <w:rFonts w:ascii="IRBadr" w:hAnsi="IRBadr" w:cs="IRBadr"/>
          <w:sz w:val="24"/>
          <w:szCs w:val="24"/>
          <w:lang w:bidi="fa-IR"/>
        </w:rPr>
      </w:pPr>
      <w:r w:rsidRPr="005971F9">
        <w:rPr>
          <w:rFonts w:ascii="IRBadr" w:hAnsi="IRBadr" w:cs="IRBadr"/>
          <w:sz w:val="24"/>
          <w:szCs w:val="24"/>
          <w:lang w:bidi="fa-IR"/>
        </w:rPr>
        <w:footnoteRef/>
      </w:r>
      <w:r w:rsidRPr="005971F9">
        <w:rPr>
          <w:rFonts w:ascii="IRBadr" w:hAnsi="IRBadr" w:cs="IRBadr"/>
          <w:sz w:val="24"/>
          <w:szCs w:val="24"/>
          <w:rtl/>
          <w:lang w:bidi="fa-IR"/>
        </w:rPr>
        <w:t xml:space="preserve"> </w:t>
      </w:r>
      <w:r w:rsidRPr="005971F9">
        <w:rPr>
          <w:rFonts w:ascii="IRBadr" w:hAnsi="IRBadr" w:cs="IRBadr" w:hint="cs"/>
          <w:sz w:val="24"/>
          <w:szCs w:val="24"/>
          <w:rtl/>
          <w:lang w:bidi="fa-IR"/>
        </w:rPr>
        <w:t xml:space="preserve">. </w:t>
      </w:r>
      <w:r w:rsidR="00877D8E">
        <w:rPr>
          <w:rFonts w:ascii="IRBadr" w:hAnsi="IRBadr" w:cs="IRBadr" w:hint="cs"/>
          <w:sz w:val="24"/>
          <w:szCs w:val="24"/>
          <w:rtl/>
          <w:lang w:bidi="fa-IR"/>
        </w:rPr>
        <w:t xml:space="preserve"> در کتاب سر الإسراء/ فصل 6؛ بند 27 و فصل 15؛ بند 83 </w:t>
      </w:r>
      <w:r>
        <w:rPr>
          <w:rFonts w:ascii="IRBadr" w:hAnsi="IRBadr" w:cs="IRBadr" w:hint="cs"/>
          <w:sz w:val="24"/>
          <w:szCs w:val="24"/>
          <w:rtl/>
          <w:lang w:bidi="fa-IR"/>
        </w:rPr>
        <w:t>مباحثی پیرامون قرب مطرح شده است.</w:t>
      </w:r>
      <w:r w:rsidR="00394B42">
        <w:rPr>
          <w:rFonts w:ascii="IRBadr" w:hAnsi="IRBadr" w:cs="IRBadr" w:hint="cs"/>
          <w:sz w:val="24"/>
          <w:szCs w:val="24"/>
          <w:rtl/>
          <w:lang w:bidi="fa-IR"/>
        </w:rPr>
        <w:t xml:space="preserve"> در همان کتاب/ فصل 2، بند 9 مبحثی با عنوان «</w:t>
      </w:r>
      <w:r w:rsidR="00394B42" w:rsidRPr="00394B42">
        <w:rPr>
          <w:rFonts w:ascii="IRBadr" w:hAnsi="IRBadr" w:cs="IRBadr"/>
          <w:sz w:val="24"/>
          <w:szCs w:val="24"/>
          <w:rtl/>
          <w:lang w:bidi="fa-IR"/>
        </w:rPr>
        <w:t>كلمة حول معنى الفناء</w:t>
      </w:r>
      <w:r w:rsidR="00394B42">
        <w:rPr>
          <w:rFonts w:ascii="IRBadr" w:hAnsi="IRBadr" w:cs="IRBadr" w:hint="cs"/>
          <w:sz w:val="24"/>
          <w:szCs w:val="24"/>
          <w:rtl/>
          <w:lang w:bidi="fa-IR"/>
        </w:rPr>
        <w:t>» مطرح شده است که جهت فهم بهتر این مباحث م</w:t>
      </w:r>
      <w:r w:rsidR="00E973AC">
        <w:rPr>
          <w:rFonts w:ascii="IRBadr" w:hAnsi="IRBadr" w:cs="IRBadr" w:hint="cs"/>
          <w:sz w:val="24"/>
          <w:szCs w:val="24"/>
          <w:rtl/>
          <w:lang w:bidi="fa-IR"/>
        </w:rPr>
        <w:t>ن</w:t>
      </w:r>
      <w:r w:rsidR="00394B42">
        <w:rPr>
          <w:rFonts w:ascii="IRBadr" w:hAnsi="IRBadr" w:cs="IRBadr" w:hint="cs"/>
          <w:sz w:val="24"/>
          <w:szCs w:val="24"/>
          <w:rtl/>
          <w:lang w:bidi="fa-IR"/>
        </w:rPr>
        <w:t>اسب است.</w:t>
      </w:r>
    </w:p>
  </w:footnote>
  <w:footnote w:id="10">
    <w:p w14:paraId="46E74FFE" w14:textId="77777777" w:rsidR="001C0EB5" w:rsidRPr="0021665D" w:rsidRDefault="001C0EB5" w:rsidP="001C0EB5">
      <w:pPr>
        <w:pStyle w:val="FootnoteText"/>
        <w:rPr>
          <w:rFonts w:ascii="IRBadr" w:hAnsi="IRBadr" w:cs="IRBadr"/>
          <w:sz w:val="24"/>
          <w:szCs w:val="24"/>
          <w:rtl/>
          <w:lang w:bidi="fa-IR"/>
        </w:rPr>
      </w:pPr>
      <w:r w:rsidRPr="0021665D">
        <w:rPr>
          <w:rStyle w:val="FootnoteReference"/>
          <w:rFonts w:ascii="IRBadr" w:hAnsi="IRBadr" w:cs="IRBadr"/>
          <w:sz w:val="24"/>
          <w:szCs w:val="24"/>
        </w:rPr>
        <w:footnoteRef/>
      </w:r>
      <w:r w:rsidRPr="0021665D">
        <w:rPr>
          <w:rFonts w:ascii="IRBadr" w:hAnsi="IRBadr" w:cs="IRBadr"/>
          <w:sz w:val="24"/>
          <w:szCs w:val="24"/>
          <w:rtl/>
        </w:rPr>
        <w:t xml:space="preserve"> </w:t>
      </w:r>
      <w:r w:rsidRPr="0021665D">
        <w:rPr>
          <w:rFonts w:ascii="IRBadr" w:hAnsi="IRBadr" w:cs="IRBadr"/>
          <w:sz w:val="24"/>
          <w:szCs w:val="24"/>
          <w:rtl/>
          <w:lang w:bidi="fa-IR"/>
        </w:rPr>
        <w:t>. الميزان في تفسير القرآن، ج‏5، ص: 328</w:t>
      </w:r>
    </w:p>
  </w:footnote>
  <w:footnote w:id="11">
    <w:p w14:paraId="47F9FF9B" w14:textId="77777777" w:rsidR="007E5AA9" w:rsidRPr="00D965EB" w:rsidRDefault="007E5AA9" w:rsidP="007E5AA9">
      <w:pPr>
        <w:pStyle w:val="FootnoteText"/>
        <w:rPr>
          <w:rStyle w:val="FootnoteReference"/>
          <w:rFonts w:ascii="IRLotus" w:hAnsi="IRLotus" w:cs="IRLotus"/>
          <w:sz w:val="28"/>
          <w:szCs w:val="28"/>
          <w:vertAlign w:val="baseline"/>
          <w:rtl/>
        </w:rPr>
      </w:pPr>
      <w:r w:rsidRPr="00D965EB">
        <w:rPr>
          <w:rStyle w:val="FootnoteReference"/>
          <w:rFonts w:ascii="IRLotus" w:hAnsi="IRLotus" w:cs="IRLotus"/>
          <w:sz w:val="28"/>
          <w:szCs w:val="28"/>
          <w:vertAlign w:val="baseline"/>
        </w:rPr>
        <w:footnoteRef/>
      </w:r>
      <w:r w:rsidRPr="00D965EB">
        <w:rPr>
          <w:rStyle w:val="FootnoteReference"/>
          <w:rFonts w:ascii="IRLotus" w:hAnsi="IRLotus" w:cs="IRLotus"/>
          <w:sz w:val="28"/>
          <w:szCs w:val="28"/>
          <w:vertAlign w:val="baseline"/>
          <w:rtl/>
        </w:rPr>
        <w:t xml:space="preserve"> </w:t>
      </w:r>
      <w:r w:rsidRPr="00D965EB">
        <w:rPr>
          <w:rStyle w:val="FootnoteReference"/>
          <w:rFonts w:ascii="IRLotus" w:hAnsi="IRLotus" w:cs="IRLotus" w:hint="cs"/>
          <w:sz w:val="28"/>
          <w:szCs w:val="28"/>
          <w:vertAlign w:val="baseline"/>
          <w:rtl/>
        </w:rPr>
        <w:t xml:space="preserve">. </w:t>
      </w:r>
      <w:r w:rsidRPr="00D965EB">
        <w:rPr>
          <w:rStyle w:val="FootnoteReference"/>
          <w:rFonts w:ascii="IRLotus" w:hAnsi="IRLotus" w:cs="IRLotus"/>
          <w:sz w:val="28"/>
          <w:szCs w:val="28"/>
          <w:vertAlign w:val="baseline"/>
          <w:rtl/>
        </w:rPr>
        <w:t xml:space="preserve"> </w:t>
      </w:r>
      <w:r w:rsidRPr="00D965EB">
        <w:rPr>
          <w:rStyle w:val="FootnoteReference"/>
          <w:rFonts w:ascii="IRLotus" w:hAnsi="IRLotus" w:cs="IRLotus"/>
          <w:sz w:val="28"/>
          <w:szCs w:val="28"/>
          <w:vertAlign w:val="baseline"/>
        </w:rPr>
        <w:sym w:font="علائم مذهبي" w:char="F025"/>
      </w:r>
      <w:r w:rsidRPr="00D965EB">
        <w:rPr>
          <w:rStyle w:val="FootnoteReference"/>
          <w:rFonts w:ascii="IRLotus" w:hAnsi="IRLotus" w:cs="IRLotus"/>
          <w:sz w:val="28"/>
          <w:szCs w:val="28"/>
          <w:vertAlign w:val="baseline"/>
          <w:rtl/>
        </w:rPr>
        <w:t>و أتوا البيوت من أبوابها</w:t>
      </w:r>
      <w:r w:rsidRPr="00D965EB">
        <w:rPr>
          <w:rStyle w:val="FootnoteReference"/>
          <w:rFonts w:ascii="IRLotus" w:hAnsi="IRLotus" w:cs="IRLotus"/>
          <w:sz w:val="28"/>
          <w:szCs w:val="28"/>
          <w:vertAlign w:val="baseline"/>
        </w:rPr>
        <w:sym w:font="علائم مذهبي" w:char="F024"/>
      </w:r>
      <w:r w:rsidRPr="00D965EB">
        <w:rPr>
          <w:rStyle w:val="FootnoteReference"/>
          <w:rFonts w:ascii="IRLotus" w:hAnsi="IRLotus" w:cs="IRLotus"/>
          <w:sz w:val="28"/>
          <w:szCs w:val="28"/>
          <w:vertAlign w:val="baseline"/>
          <w:rtl/>
        </w:rPr>
        <w:t xml:space="preserve"> و البيوت هي بيوت العلم الذي استودعته الأنبياء و أبوابها أوصياؤهم‏</w:t>
      </w:r>
      <w:r w:rsidRPr="00D965EB">
        <w:rPr>
          <w:rStyle w:val="FootnoteReference"/>
          <w:rFonts w:ascii="IRLotus" w:hAnsi="IRLotus" w:cs="IRLotus" w:hint="cs"/>
          <w:sz w:val="28"/>
          <w:szCs w:val="28"/>
          <w:vertAlign w:val="baseline"/>
          <w:rtl/>
        </w:rPr>
        <w:t xml:space="preserve"> (</w:t>
      </w:r>
      <w:r w:rsidRPr="00D965EB">
        <w:rPr>
          <w:rStyle w:val="FootnoteReference"/>
          <w:rFonts w:ascii="IRLotus" w:hAnsi="IRLotus" w:cs="IRLotus"/>
          <w:sz w:val="28"/>
          <w:szCs w:val="28"/>
          <w:vertAlign w:val="baseline"/>
          <w:rtl/>
        </w:rPr>
        <w:t>الإحتجاج على أهل اللجاج، ج‏1، ص: 248</w:t>
      </w:r>
      <w:r w:rsidRPr="00D965EB">
        <w:rPr>
          <w:rStyle w:val="FootnoteReference"/>
          <w:rFonts w:ascii="IRLotus" w:hAnsi="IRLotus" w:cs="IRLotus" w:hint="cs"/>
          <w:sz w:val="28"/>
          <w:szCs w:val="28"/>
          <w:vertAlign w:val="baseline"/>
          <w:rtl/>
        </w:rPr>
        <w:t xml:space="preserve"> و الکریمة هي الآية 189 من سوره البقرة)</w:t>
      </w:r>
    </w:p>
  </w:footnote>
  <w:footnote w:id="12">
    <w:p w14:paraId="5CCFB174" w14:textId="77777777" w:rsidR="007E5AA9" w:rsidRPr="00D965EB" w:rsidRDefault="007E5AA9" w:rsidP="007E5AA9">
      <w:pPr>
        <w:pStyle w:val="FootnoteText"/>
        <w:rPr>
          <w:rStyle w:val="FootnoteReference"/>
          <w:rFonts w:ascii="IRLotus" w:hAnsi="IRLotus" w:cs="IRLotus"/>
          <w:sz w:val="28"/>
          <w:szCs w:val="28"/>
          <w:vertAlign w:val="baseline"/>
          <w:rtl/>
        </w:rPr>
      </w:pPr>
      <w:r w:rsidRPr="00D965EB">
        <w:rPr>
          <w:rStyle w:val="FootnoteReference"/>
          <w:rFonts w:ascii="IRLotus" w:hAnsi="IRLotus" w:cs="IRLotus"/>
          <w:sz w:val="28"/>
          <w:szCs w:val="28"/>
          <w:vertAlign w:val="baseline"/>
        </w:rPr>
        <w:footnoteRef/>
      </w:r>
      <w:r w:rsidRPr="00D965EB">
        <w:rPr>
          <w:rStyle w:val="FootnoteReference"/>
          <w:rFonts w:ascii="IRLotus" w:hAnsi="IRLotus" w:cs="IRLotus"/>
          <w:sz w:val="28"/>
          <w:szCs w:val="28"/>
          <w:vertAlign w:val="baseline"/>
          <w:rtl/>
        </w:rPr>
        <w:t xml:space="preserve"> </w:t>
      </w:r>
      <w:r w:rsidRPr="00D965EB">
        <w:rPr>
          <w:rStyle w:val="FootnoteReference"/>
          <w:rFonts w:ascii="IRLotus" w:hAnsi="IRLotus" w:cs="IRLotus" w:hint="cs"/>
          <w:sz w:val="28"/>
          <w:szCs w:val="28"/>
          <w:vertAlign w:val="baseline"/>
          <w:rtl/>
        </w:rPr>
        <w:t>. و در اخبار وارد است که «</w:t>
      </w:r>
      <w:r w:rsidRPr="00D965EB">
        <w:rPr>
          <w:rStyle w:val="FootnoteReference"/>
          <w:rFonts w:ascii="IRLotus" w:hAnsi="IRLotus" w:cs="IRLotus"/>
          <w:sz w:val="28"/>
          <w:szCs w:val="28"/>
          <w:vertAlign w:val="baseline"/>
          <w:rtl/>
        </w:rPr>
        <w:t>قيمة كل امرئ ما يحسنه‏</w:t>
      </w:r>
      <w:r w:rsidRPr="00D965EB">
        <w:rPr>
          <w:rStyle w:val="FootnoteReference"/>
          <w:rFonts w:ascii="IRLotus" w:hAnsi="IRLotus" w:cs="IRLotus" w:hint="cs"/>
          <w:sz w:val="28"/>
          <w:szCs w:val="28"/>
          <w:vertAlign w:val="baseline"/>
          <w:rtl/>
        </w:rPr>
        <w:t xml:space="preserve">» (الأمالي للصدوق/447) و مصداق این خبر برای رسول الله 9، امیرمؤمنان </w:t>
      </w:r>
      <w:r w:rsidRPr="00D965EB">
        <w:rPr>
          <w:rStyle w:val="FootnoteReference"/>
          <w:rFonts w:ascii="IRLotus" w:hAnsi="IRLotus" w:cs="IRLotus" w:hint="cs"/>
          <w:sz w:val="28"/>
          <w:szCs w:val="28"/>
          <w:vertAlign w:val="baseline"/>
        </w:rPr>
        <w:sym w:font="علائم مذهبي" w:char="F02C"/>
      </w:r>
      <w:r w:rsidRPr="00D965EB">
        <w:rPr>
          <w:rStyle w:val="FootnoteReference"/>
          <w:rFonts w:ascii="IRLotus" w:hAnsi="IRLotus" w:cs="IRLotus" w:hint="cs"/>
          <w:sz w:val="28"/>
          <w:szCs w:val="28"/>
          <w:vertAlign w:val="baseline"/>
          <w:rtl/>
        </w:rPr>
        <w:t>می‌باشند. مناسب است بیان مرحوم علامه طباطبایی در اینجا ذکر شود: «</w:t>
      </w:r>
      <w:r w:rsidRPr="00D965EB">
        <w:rPr>
          <w:rStyle w:val="FootnoteReference"/>
          <w:rFonts w:ascii="IRLotus" w:hAnsi="IRLotus" w:cs="IRLotus"/>
          <w:sz w:val="28"/>
          <w:szCs w:val="28"/>
          <w:vertAlign w:val="baseline"/>
          <w:rtl/>
        </w:rPr>
        <w:t xml:space="preserve"> و في تفسير القمي،": في قوله تعالى: «يا أَيُّهَا الَّذِينَ آمَنُوا اتَّقُوا اللَّهَ- وَ ابْتَغُوا إِلَيْهِ الْوَسِيلَةَ» (الآية) قال: فقال: تقربوا إليه بالإمام.</w:t>
      </w:r>
      <w:r w:rsidRPr="00D965EB">
        <w:rPr>
          <w:rStyle w:val="FootnoteReference"/>
          <w:rFonts w:ascii="IRLotus" w:hAnsi="IRLotus" w:cs="IRLotus" w:hint="cs"/>
          <w:sz w:val="28"/>
          <w:szCs w:val="28"/>
          <w:vertAlign w:val="baseline"/>
          <w:rtl/>
        </w:rPr>
        <w:t xml:space="preserve"> </w:t>
      </w:r>
      <w:r w:rsidRPr="00D965EB">
        <w:rPr>
          <w:rStyle w:val="FootnoteReference"/>
          <w:rFonts w:ascii="IRLotus" w:hAnsi="IRLotus" w:cs="IRLotus"/>
          <w:sz w:val="28"/>
          <w:szCs w:val="28"/>
          <w:vertAlign w:val="baseline"/>
          <w:rtl/>
        </w:rPr>
        <w:t>أقول: أي بطاعته فهو من قبيل الجري و الانطباق على المصداق، و نظيره ما</w:t>
      </w:r>
      <w:r w:rsidRPr="00D965EB">
        <w:rPr>
          <w:rStyle w:val="FootnoteReference"/>
          <w:rFonts w:ascii="IRLotus" w:hAnsi="IRLotus" w:cs="IRLotus" w:hint="cs"/>
          <w:sz w:val="28"/>
          <w:szCs w:val="28"/>
          <w:vertAlign w:val="baseline"/>
          <w:rtl/>
        </w:rPr>
        <w:t xml:space="preserve"> </w:t>
      </w:r>
      <w:r w:rsidRPr="00D965EB">
        <w:rPr>
          <w:rStyle w:val="FootnoteReference"/>
          <w:rFonts w:ascii="IRLotus" w:hAnsi="IRLotus" w:cs="IRLotus"/>
          <w:sz w:val="28"/>
          <w:szCs w:val="28"/>
          <w:vertAlign w:val="baseline"/>
          <w:rtl/>
        </w:rPr>
        <w:t>عن ابن شهر آشوب قال: قال أمير المؤمنين (ع): في قوله تعالى: «وَ ابْتَغُوا إِلَيْهِ الْوَسِيلَةَ»: أنا وسيلته.</w:t>
      </w:r>
      <w:r w:rsidRPr="00D965EB">
        <w:rPr>
          <w:rStyle w:val="FootnoteReference"/>
          <w:rFonts w:ascii="IRLotus" w:hAnsi="IRLotus" w:cs="IRLotus" w:hint="cs"/>
          <w:sz w:val="28"/>
          <w:szCs w:val="28"/>
          <w:vertAlign w:val="baseline"/>
          <w:rtl/>
        </w:rPr>
        <w:t xml:space="preserve"> </w:t>
      </w:r>
      <w:r w:rsidRPr="00D965EB">
        <w:rPr>
          <w:rStyle w:val="FootnoteReference"/>
          <w:rFonts w:ascii="IRLotus" w:hAnsi="IRLotus" w:cs="IRLotus"/>
          <w:sz w:val="28"/>
          <w:szCs w:val="28"/>
          <w:vertAlign w:val="baseline"/>
          <w:rtl/>
        </w:rPr>
        <w:t>و قريب منه ما في بصائر الدرجات، بإسناده عن سلمان عن علي (ع)</w:t>
      </w:r>
      <w:r w:rsidRPr="00D965EB">
        <w:rPr>
          <w:rStyle w:val="FootnoteReference"/>
          <w:rFonts w:ascii="IRLotus" w:hAnsi="IRLotus" w:cs="IRLotus" w:hint="cs"/>
          <w:sz w:val="28"/>
          <w:szCs w:val="28"/>
          <w:vertAlign w:val="baseline"/>
          <w:rtl/>
        </w:rPr>
        <w:t xml:space="preserve"> </w:t>
      </w:r>
      <w:r w:rsidRPr="00D965EB">
        <w:rPr>
          <w:rStyle w:val="FootnoteReference"/>
          <w:rFonts w:ascii="IRLotus" w:hAnsi="IRLotus" w:cs="IRLotus"/>
          <w:sz w:val="28"/>
          <w:szCs w:val="28"/>
          <w:vertAlign w:val="baseline"/>
          <w:rtl/>
        </w:rPr>
        <w:t>، و يمكن أن يكون الروايتان من قبيل التأويل فتدبر فيهما.</w:t>
      </w:r>
      <w:r w:rsidRPr="00D965EB">
        <w:rPr>
          <w:rStyle w:val="FootnoteReference"/>
          <w:rFonts w:ascii="IRLotus" w:hAnsi="IRLotus" w:cs="IRLotus" w:hint="cs"/>
          <w:sz w:val="28"/>
          <w:szCs w:val="28"/>
          <w:vertAlign w:val="baseline"/>
          <w:rtl/>
        </w:rPr>
        <w:t>» (</w:t>
      </w:r>
      <w:r w:rsidRPr="00D965EB">
        <w:rPr>
          <w:rStyle w:val="FootnoteReference"/>
          <w:rFonts w:ascii="IRLotus" w:hAnsi="IRLotus" w:cs="IRLotus"/>
          <w:sz w:val="28"/>
          <w:szCs w:val="28"/>
          <w:vertAlign w:val="baseline"/>
          <w:rtl/>
        </w:rPr>
        <w:t>الميزان في تفسير القرآن، ج‏5، ص: 333</w:t>
      </w:r>
      <w:r w:rsidRPr="00D965EB">
        <w:rPr>
          <w:rStyle w:val="FootnoteReference"/>
          <w:rFonts w:ascii="IRLotus" w:hAnsi="IRLotus" w:cs="IRLotus" w:hint="cs"/>
          <w:sz w:val="28"/>
          <w:szCs w:val="28"/>
          <w:vertAlign w:val="baseline"/>
          <w:rtl/>
        </w:rPr>
        <w:t>)</w:t>
      </w:r>
    </w:p>
  </w:footnote>
  <w:footnote w:id="13">
    <w:p w14:paraId="26D7884F" w14:textId="77777777" w:rsidR="007E5AA9" w:rsidRPr="00D965EB" w:rsidRDefault="007E5AA9" w:rsidP="007E5AA9">
      <w:pPr>
        <w:pStyle w:val="FootnoteText"/>
        <w:rPr>
          <w:rStyle w:val="FootnoteReference"/>
          <w:rFonts w:ascii="IRLotus" w:hAnsi="IRLotus" w:cs="IRLotus"/>
          <w:sz w:val="28"/>
          <w:szCs w:val="28"/>
          <w:vertAlign w:val="baseline"/>
        </w:rPr>
      </w:pPr>
      <w:r w:rsidRPr="00D965EB">
        <w:rPr>
          <w:rStyle w:val="FootnoteReference"/>
          <w:rFonts w:ascii="IRLotus" w:hAnsi="IRLotus" w:cs="IRLotus"/>
          <w:sz w:val="28"/>
          <w:szCs w:val="28"/>
          <w:vertAlign w:val="baseline"/>
        </w:rPr>
        <w:footnoteRef/>
      </w:r>
      <w:r w:rsidRPr="00D965EB">
        <w:rPr>
          <w:rStyle w:val="FootnoteReference"/>
          <w:rFonts w:ascii="IRLotus" w:hAnsi="IRLotus" w:cs="IRLotus"/>
          <w:sz w:val="28"/>
          <w:szCs w:val="28"/>
          <w:vertAlign w:val="baseline"/>
          <w:rtl/>
        </w:rPr>
        <w:t xml:space="preserve"> </w:t>
      </w:r>
      <w:r w:rsidRPr="00D965EB">
        <w:rPr>
          <w:rStyle w:val="FootnoteReference"/>
          <w:rFonts w:ascii="IRLotus" w:hAnsi="IRLotus" w:cs="IRLotus" w:hint="cs"/>
          <w:sz w:val="28"/>
          <w:szCs w:val="28"/>
          <w:vertAlign w:val="baseline"/>
          <w:rtl/>
        </w:rPr>
        <w:t xml:space="preserve">. </w:t>
      </w:r>
      <w:r w:rsidRPr="00D965EB">
        <w:rPr>
          <w:rStyle w:val="FootnoteReference"/>
          <w:rFonts w:ascii="IRLotus" w:hAnsi="IRLotus" w:cs="IRLotus"/>
          <w:sz w:val="28"/>
          <w:szCs w:val="28"/>
          <w:vertAlign w:val="baseline"/>
          <w:rtl/>
        </w:rPr>
        <w:t>يا فضيل بن يسار لو عدلت الدنيا عند الله عز و جل جناح بعوضة ما سقى عدوه منها شربة ماء</w:t>
      </w:r>
      <w:r w:rsidRPr="00D965EB">
        <w:rPr>
          <w:rStyle w:val="FootnoteReference"/>
          <w:rFonts w:ascii="IRLotus" w:hAnsi="IRLotus" w:cs="IRLotus" w:hint="cs"/>
          <w:sz w:val="28"/>
          <w:szCs w:val="28"/>
          <w:vertAlign w:val="baseline"/>
          <w:rtl/>
        </w:rPr>
        <w:t xml:space="preserve"> (</w:t>
      </w:r>
      <w:r w:rsidRPr="00D965EB">
        <w:rPr>
          <w:rStyle w:val="FootnoteReference"/>
          <w:rFonts w:ascii="IRLotus" w:hAnsi="IRLotus" w:cs="IRLotus"/>
          <w:sz w:val="28"/>
          <w:szCs w:val="28"/>
          <w:vertAlign w:val="baseline"/>
          <w:rtl/>
        </w:rPr>
        <w:t>الكافي (ط - الإسلامية) / ج‏2 / 246</w:t>
      </w:r>
      <w:r w:rsidRPr="00D965EB">
        <w:rPr>
          <w:rStyle w:val="FootnoteReference"/>
          <w:rFonts w:ascii="IRLotus" w:hAnsi="IRLotus" w:cs="IRLotus" w:hint="cs"/>
          <w:sz w:val="28"/>
          <w:szCs w:val="28"/>
          <w:vertAlign w:val="baseline"/>
          <w:rtl/>
        </w:rPr>
        <w:t>)</w:t>
      </w:r>
    </w:p>
  </w:footnote>
  <w:footnote w:id="14">
    <w:p w14:paraId="3594F805" w14:textId="77777777" w:rsidR="007E5AA9" w:rsidRPr="00D965EB" w:rsidRDefault="007E5AA9" w:rsidP="007E5AA9">
      <w:pPr>
        <w:pStyle w:val="FootnoteText"/>
        <w:rPr>
          <w:rStyle w:val="FootnoteReference"/>
          <w:rFonts w:ascii="IRLotus" w:hAnsi="IRLotus" w:cs="IRLotus"/>
          <w:sz w:val="28"/>
          <w:szCs w:val="28"/>
          <w:vertAlign w:val="baseline"/>
        </w:rPr>
      </w:pPr>
      <w:r w:rsidRPr="00D965EB">
        <w:rPr>
          <w:rStyle w:val="FootnoteReference"/>
          <w:rFonts w:ascii="IRLotus" w:hAnsi="IRLotus" w:cs="IRLotus"/>
          <w:sz w:val="28"/>
          <w:szCs w:val="28"/>
          <w:vertAlign w:val="baseline"/>
        </w:rPr>
        <w:footnoteRef/>
      </w:r>
      <w:r w:rsidRPr="00D965EB">
        <w:rPr>
          <w:rStyle w:val="FootnoteReference"/>
          <w:rFonts w:ascii="IRLotus" w:hAnsi="IRLotus" w:cs="IRLotus"/>
          <w:sz w:val="28"/>
          <w:szCs w:val="28"/>
          <w:vertAlign w:val="baseline"/>
          <w:rtl/>
        </w:rPr>
        <w:t xml:space="preserve"> </w:t>
      </w:r>
      <w:r w:rsidRPr="00D965EB">
        <w:rPr>
          <w:rStyle w:val="FootnoteReference"/>
          <w:rFonts w:ascii="IRLotus" w:hAnsi="IRLotus" w:cs="IRLotus" w:hint="cs"/>
          <w:sz w:val="28"/>
          <w:szCs w:val="28"/>
          <w:vertAlign w:val="baseline"/>
          <w:rtl/>
        </w:rPr>
        <w:t xml:space="preserve">. </w:t>
      </w:r>
      <w:r w:rsidRPr="00D965EB">
        <w:rPr>
          <w:rStyle w:val="FootnoteReference"/>
          <w:rFonts w:ascii="IRLotus" w:hAnsi="IRLotus" w:cs="IRLotus"/>
          <w:sz w:val="28"/>
          <w:szCs w:val="28"/>
          <w:vertAlign w:val="baseline"/>
          <w:rtl/>
        </w:rPr>
        <w:t>و ما نظر إليها منذ خلقها و لقد عرضت على نبيك ص بمفاتيحها و خزائنها لا ينقصه عند الله جناح بعوضة فأبى أن يقبلها و كره أن يخالف على الله أمره أو يحب ما أبغض خالقه أو يرفع ما وضع مليكه‏</w:t>
      </w:r>
      <w:r w:rsidRPr="00D965EB">
        <w:rPr>
          <w:rStyle w:val="FootnoteReference"/>
          <w:rFonts w:ascii="IRLotus" w:hAnsi="IRLotus" w:cs="IRLotus" w:hint="cs"/>
          <w:sz w:val="28"/>
          <w:szCs w:val="28"/>
          <w:vertAlign w:val="baseline"/>
          <w:rtl/>
        </w:rPr>
        <w:t xml:space="preserve"> (</w:t>
      </w:r>
      <w:r w:rsidRPr="00D965EB">
        <w:rPr>
          <w:rStyle w:val="FootnoteReference"/>
          <w:rFonts w:ascii="IRLotus" w:hAnsi="IRLotus" w:cs="IRLotus"/>
          <w:sz w:val="28"/>
          <w:szCs w:val="28"/>
          <w:vertAlign w:val="baseline"/>
          <w:rtl/>
        </w:rPr>
        <w:t>مجموعة ورام، ج‏1، ص: 143</w:t>
      </w:r>
      <w:r w:rsidRPr="00D965EB">
        <w:rPr>
          <w:rStyle w:val="FootnoteReference"/>
          <w:rFonts w:ascii="IRLotus" w:hAnsi="IRLotus" w:cs="IRLotus" w:hint="cs"/>
          <w:sz w:val="28"/>
          <w:szCs w:val="28"/>
          <w:vertAlign w:val="baseline"/>
          <w:rtl/>
        </w:rPr>
        <w:t>)</w:t>
      </w:r>
    </w:p>
  </w:footnote>
  <w:footnote w:id="15">
    <w:p w14:paraId="2EFBAFEF" w14:textId="77777777" w:rsidR="007E5AA9" w:rsidRPr="00D965EB" w:rsidRDefault="007E5AA9" w:rsidP="007E5AA9">
      <w:pPr>
        <w:pStyle w:val="FootnoteText"/>
        <w:rPr>
          <w:rStyle w:val="FootnoteReference"/>
          <w:rFonts w:ascii="IRLotus" w:hAnsi="IRLotus" w:cs="IRLotus"/>
          <w:sz w:val="28"/>
          <w:szCs w:val="28"/>
          <w:vertAlign w:val="baseline"/>
          <w:rtl/>
        </w:rPr>
      </w:pPr>
      <w:r w:rsidRPr="00D965EB">
        <w:rPr>
          <w:rStyle w:val="FootnoteReference"/>
          <w:rFonts w:ascii="IRLotus" w:hAnsi="IRLotus" w:cs="IRLotus"/>
          <w:sz w:val="28"/>
          <w:szCs w:val="28"/>
          <w:vertAlign w:val="baseline"/>
        </w:rPr>
        <w:footnoteRef/>
      </w:r>
      <w:r w:rsidRPr="00D965EB">
        <w:rPr>
          <w:rStyle w:val="FootnoteReference"/>
          <w:rFonts w:ascii="IRLotus" w:hAnsi="IRLotus" w:cs="IRLotus"/>
          <w:sz w:val="28"/>
          <w:szCs w:val="28"/>
          <w:vertAlign w:val="baseline"/>
          <w:rtl/>
        </w:rPr>
        <w:t xml:space="preserve"> </w:t>
      </w:r>
      <w:r w:rsidRPr="00D965EB">
        <w:rPr>
          <w:rStyle w:val="FootnoteReference"/>
          <w:rFonts w:ascii="IRLotus" w:hAnsi="IRLotus" w:cs="IRLotus" w:hint="cs"/>
          <w:sz w:val="28"/>
          <w:szCs w:val="28"/>
          <w:vertAlign w:val="baseline"/>
          <w:rtl/>
        </w:rPr>
        <w:t xml:space="preserve">. </w:t>
      </w:r>
      <w:r w:rsidRPr="00D965EB">
        <w:rPr>
          <w:rStyle w:val="FootnoteReference"/>
          <w:rFonts w:ascii="IRLotus" w:hAnsi="IRLotus" w:cs="IRLotus"/>
          <w:sz w:val="28"/>
          <w:szCs w:val="28"/>
          <w:vertAlign w:val="baseline"/>
          <w:rtl/>
        </w:rPr>
        <w:t>قال ع من هوان الدنيا على الله أنه لا يعصى إلا فيها و لا ينال ما عنده إلا بتركها</w:t>
      </w:r>
      <w:r w:rsidRPr="00D965EB">
        <w:rPr>
          <w:rStyle w:val="FootnoteReference"/>
          <w:rFonts w:ascii="IRLotus" w:hAnsi="IRLotus" w:cs="IRLotus" w:hint="cs"/>
          <w:sz w:val="28"/>
          <w:szCs w:val="28"/>
          <w:vertAlign w:val="baseline"/>
          <w:rtl/>
        </w:rPr>
        <w:t xml:space="preserve"> (</w:t>
      </w:r>
      <w:r w:rsidRPr="00D965EB">
        <w:rPr>
          <w:rStyle w:val="FootnoteReference"/>
          <w:rFonts w:ascii="IRLotus" w:hAnsi="IRLotus" w:cs="IRLotus"/>
          <w:sz w:val="28"/>
          <w:szCs w:val="28"/>
          <w:vertAlign w:val="baseline"/>
          <w:rtl/>
        </w:rPr>
        <w:t>نهج البلاغة (للصبحي صالح)، ص: 54</w:t>
      </w:r>
      <w:r w:rsidRPr="00D965EB">
        <w:rPr>
          <w:rStyle w:val="FootnoteReference"/>
          <w:rFonts w:ascii="IRLotus" w:hAnsi="IRLotus" w:cs="IRLotus" w:hint="cs"/>
          <w:sz w:val="28"/>
          <w:szCs w:val="28"/>
          <w:vertAlign w:val="baseline"/>
          <w:rtl/>
        </w:rPr>
        <w:t>4)</w:t>
      </w:r>
    </w:p>
  </w:footnote>
  <w:footnote w:id="16">
    <w:p w14:paraId="57CD57F6" w14:textId="255231D9" w:rsidR="001548D0" w:rsidRPr="001548D0" w:rsidRDefault="001548D0" w:rsidP="001548D0">
      <w:pPr>
        <w:pStyle w:val="FootnoteText"/>
        <w:rPr>
          <w:rStyle w:val="FootnoteReference"/>
          <w:rFonts w:ascii="IRLotus" w:hAnsi="IRLotus" w:cs="IRLotus"/>
          <w:sz w:val="28"/>
          <w:szCs w:val="28"/>
          <w:vertAlign w:val="baseline"/>
          <w:rtl/>
        </w:rPr>
      </w:pPr>
      <w:r w:rsidRPr="001548D0">
        <w:rPr>
          <w:rStyle w:val="FootnoteReference"/>
          <w:rFonts w:ascii="IRLotus" w:hAnsi="IRLotus" w:cs="IRLotus"/>
          <w:sz w:val="28"/>
          <w:szCs w:val="28"/>
          <w:vertAlign w:val="baseline"/>
        </w:rPr>
        <w:footnoteRef/>
      </w:r>
      <w:r w:rsidRPr="001548D0">
        <w:rPr>
          <w:rStyle w:val="FootnoteReference"/>
          <w:rFonts w:ascii="IRLotus" w:hAnsi="IRLotus" w:cs="IRLotus" w:hint="cs"/>
          <w:sz w:val="28"/>
          <w:szCs w:val="28"/>
          <w:vertAlign w:val="baseline"/>
          <w:rtl/>
        </w:rPr>
        <w:t xml:space="preserve">. </w:t>
      </w:r>
      <w:r w:rsidRPr="001548D0">
        <w:rPr>
          <w:rStyle w:val="FootnoteReference"/>
          <w:rFonts w:ascii="IRLotus" w:hAnsi="IRLotus" w:cs="IRLotus"/>
          <w:sz w:val="28"/>
          <w:szCs w:val="28"/>
          <w:vertAlign w:val="baseline"/>
          <w:rtl/>
        </w:rPr>
        <w:t>فقال له أمير المؤمنين ع إن الدنيا منزل صدق لمن صدقها و دار غنى لمن تزود منها و دار عاقبة لمن فهم عنها مسجد أحباء الله و مهبط وحي الله و مصلى ملائكته و متجر أوليائه اكتسبوا فيها الجنة</w:t>
      </w:r>
      <w:r w:rsidRPr="001548D0">
        <w:rPr>
          <w:rStyle w:val="FootnoteReference"/>
          <w:rFonts w:ascii="IRLotus" w:hAnsi="IRLotus" w:cs="IRLotus" w:hint="cs"/>
          <w:sz w:val="28"/>
          <w:szCs w:val="28"/>
          <w:vertAlign w:val="baseline"/>
          <w:rtl/>
        </w:rPr>
        <w:t xml:space="preserve"> .... (</w:t>
      </w:r>
      <w:r w:rsidRPr="001548D0">
        <w:rPr>
          <w:rStyle w:val="FootnoteReference"/>
          <w:rFonts w:ascii="IRLotus" w:hAnsi="IRLotus" w:cs="IRLotus"/>
          <w:sz w:val="28"/>
          <w:szCs w:val="28"/>
          <w:vertAlign w:val="baseline"/>
          <w:rtl/>
        </w:rPr>
        <w:t>الزهد، ص: 4</w:t>
      </w:r>
      <w:r w:rsidRPr="001548D0">
        <w:rPr>
          <w:rStyle w:val="FootnoteReference"/>
          <w:rFonts w:ascii="IRLotus" w:hAnsi="IRLotus" w:cs="IRLotus" w:hint="cs"/>
          <w:sz w:val="28"/>
          <w:szCs w:val="28"/>
          <w:vertAlign w:val="baseline"/>
          <w:rtl/>
        </w:rPr>
        <w:t>7)</w:t>
      </w:r>
    </w:p>
  </w:footnote>
  <w:footnote w:id="17">
    <w:p w14:paraId="379DEE82" w14:textId="6F15A426" w:rsidR="00FA52D7" w:rsidRPr="00FA52D7" w:rsidRDefault="00FA52D7" w:rsidP="008E424C">
      <w:pPr>
        <w:pStyle w:val="FootnoteText"/>
        <w:rPr>
          <w:rStyle w:val="FootnoteReference"/>
          <w:rFonts w:ascii="IRLotus" w:hAnsi="IRLotus" w:cs="IRLotus"/>
          <w:sz w:val="28"/>
          <w:szCs w:val="28"/>
          <w:vertAlign w:val="baseline"/>
          <w:rtl/>
        </w:rPr>
      </w:pPr>
      <w:r w:rsidRPr="00FA52D7">
        <w:rPr>
          <w:rStyle w:val="FootnoteReference"/>
          <w:rFonts w:ascii="IRLotus" w:hAnsi="IRLotus" w:cs="IRLotus"/>
          <w:sz w:val="28"/>
          <w:szCs w:val="28"/>
          <w:vertAlign w:val="baseline"/>
        </w:rPr>
        <w:footnoteRef/>
      </w:r>
      <w:r w:rsidRPr="00FA52D7">
        <w:rPr>
          <w:rStyle w:val="FootnoteReference"/>
          <w:rFonts w:ascii="IRLotus" w:hAnsi="IRLotus" w:cs="IRLotus"/>
          <w:sz w:val="28"/>
          <w:szCs w:val="28"/>
          <w:vertAlign w:val="baseline"/>
          <w:rtl/>
        </w:rPr>
        <w:t xml:space="preserve"> </w:t>
      </w:r>
      <w:r w:rsidRPr="00FA52D7">
        <w:rPr>
          <w:rStyle w:val="FootnoteReference"/>
          <w:rFonts w:ascii="IRLotus" w:hAnsi="IRLotus" w:cs="IRLotus" w:hint="cs"/>
          <w:sz w:val="28"/>
          <w:szCs w:val="28"/>
          <w:vertAlign w:val="baseline"/>
          <w:rtl/>
        </w:rPr>
        <w:t xml:space="preserve">. </w:t>
      </w:r>
      <w:r w:rsidRPr="00D965EB">
        <w:rPr>
          <w:rStyle w:val="FootnoteReference"/>
          <w:rFonts w:ascii="IRLotus" w:hAnsi="IRLotus" w:cs="IRLotus"/>
          <w:sz w:val="28"/>
          <w:szCs w:val="28"/>
          <w:vertAlign w:val="baseline"/>
          <w:rtl/>
        </w:rPr>
        <w:t xml:space="preserve">ديوان حافظ، چاپ قدسى، غزل </w:t>
      </w:r>
      <w:r w:rsidR="008E424C">
        <w:rPr>
          <w:rStyle w:val="FootnoteReference"/>
          <w:rFonts w:ascii="IRLotus" w:hAnsi="IRLotus" w:cs="IRLotus" w:hint="cs"/>
          <w:sz w:val="28"/>
          <w:szCs w:val="28"/>
          <w:vertAlign w:val="baseline"/>
          <w:rtl/>
        </w:rPr>
        <w:t>2</w:t>
      </w:r>
      <w:r w:rsidR="008E424C">
        <w:rPr>
          <w:rFonts w:ascii="IRLotus" w:hAnsi="IRLotus" w:cs="IRLotus" w:hint="cs"/>
          <w:sz w:val="28"/>
          <w:szCs w:val="28"/>
          <w:rtl/>
        </w:rPr>
        <w:t>20</w:t>
      </w:r>
      <w:r w:rsidRPr="00D965EB">
        <w:rPr>
          <w:rStyle w:val="FootnoteReference"/>
          <w:rFonts w:ascii="IRLotus" w:hAnsi="IRLotus" w:cs="IRLotus"/>
          <w:sz w:val="28"/>
          <w:szCs w:val="28"/>
          <w:vertAlign w:val="baseline"/>
          <w:rtl/>
        </w:rPr>
        <w:t xml:space="preserve">، ص </w:t>
      </w:r>
      <w:r w:rsidR="008E424C">
        <w:rPr>
          <w:rStyle w:val="FootnoteReference"/>
          <w:rFonts w:ascii="IRLotus" w:hAnsi="IRLotus" w:cs="IRLotus" w:hint="cs"/>
          <w:sz w:val="28"/>
          <w:szCs w:val="28"/>
          <w:vertAlign w:val="baseline"/>
          <w:rtl/>
        </w:rPr>
        <w:t>1</w:t>
      </w:r>
      <w:r w:rsidR="008E424C">
        <w:rPr>
          <w:rFonts w:ascii="IRLotus" w:hAnsi="IRLotus" w:cs="IRLotus" w:hint="cs"/>
          <w:sz w:val="28"/>
          <w:szCs w:val="28"/>
          <w:rtl/>
        </w:rPr>
        <w:t>83</w:t>
      </w:r>
    </w:p>
  </w:footnote>
  <w:footnote w:id="18">
    <w:p w14:paraId="08992EAE" w14:textId="77777777" w:rsidR="007E5AA9" w:rsidRPr="00D965EB" w:rsidRDefault="007E5AA9" w:rsidP="007E5AA9">
      <w:pPr>
        <w:pStyle w:val="FootnoteText"/>
        <w:rPr>
          <w:rStyle w:val="FootnoteReference"/>
          <w:rFonts w:ascii="IRLotus" w:hAnsi="IRLotus" w:cs="IRLotus"/>
          <w:sz w:val="28"/>
          <w:szCs w:val="28"/>
          <w:vertAlign w:val="baseline"/>
          <w:rtl/>
        </w:rPr>
      </w:pPr>
      <w:r w:rsidRPr="00D965EB">
        <w:rPr>
          <w:rStyle w:val="FootnoteReference"/>
          <w:rFonts w:ascii="IRLotus" w:hAnsi="IRLotus" w:cs="IRLotus"/>
          <w:sz w:val="28"/>
          <w:szCs w:val="28"/>
          <w:vertAlign w:val="baseline"/>
        </w:rPr>
        <w:footnoteRef/>
      </w:r>
      <w:r w:rsidRPr="00D965EB">
        <w:rPr>
          <w:rStyle w:val="FootnoteReference"/>
          <w:rFonts w:ascii="IRLotus" w:hAnsi="IRLotus" w:cs="IRLotus"/>
          <w:sz w:val="28"/>
          <w:szCs w:val="28"/>
          <w:vertAlign w:val="baseline"/>
          <w:rtl/>
        </w:rPr>
        <w:t xml:space="preserve"> </w:t>
      </w:r>
      <w:r w:rsidRPr="00D965EB">
        <w:rPr>
          <w:rStyle w:val="FootnoteReference"/>
          <w:rFonts w:ascii="IRLotus" w:hAnsi="IRLotus" w:cs="IRLotus" w:hint="cs"/>
          <w:sz w:val="28"/>
          <w:szCs w:val="28"/>
          <w:vertAlign w:val="baseline"/>
          <w:rtl/>
        </w:rPr>
        <w:t xml:space="preserve">. مناسب است به فایل </w:t>
      </w:r>
      <w:r w:rsidRPr="00D965EB">
        <w:rPr>
          <w:rStyle w:val="FootnoteReference"/>
          <w:rFonts w:ascii="IRLotus" w:hAnsi="IRLotus" w:cs="IRLotus"/>
          <w:sz w:val="28"/>
          <w:szCs w:val="28"/>
          <w:vertAlign w:val="baseline"/>
        </w:rPr>
        <w:t>e-m-158</w:t>
      </w:r>
      <w:r w:rsidRPr="00D965EB">
        <w:rPr>
          <w:rStyle w:val="FootnoteReference"/>
          <w:rFonts w:ascii="IRLotus" w:hAnsi="IRLotus" w:cs="IRLotus" w:hint="cs"/>
          <w:sz w:val="28"/>
          <w:szCs w:val="28"/>
          <w:vertAlign w:val="baseline"/>
          <w:rtl/>
        </w:rPr>
        <w:t xml:space="preserve"> با نام «مساوقات علم» در سایت نمو رجوع شود.</w:t>
      </w:r>
    </w:p>
  </w:footnote>
  <w:footnote w:id="19">
    <w:p w14:paraId="77A08E4B" w14:textId="77777777" w:rsidR="007E5AA9" w:rsidRPr="00D965EB" w:rsidRDefault="007E5AA9" w:rsidP="007E5AA9">
      <w:pPr>
        <w:pStyle w:val="FootnoteText"/>
        <w:rPr>
          <w:rStyle w:val="FootnoteReference"/>
          <w:rFonts w:ascii="IRLotus" w:hAnsi="IRLotus" w:cs="IRLotus"/>
          <w:sz w:val="28"/>
          <w:szCs w:val="28"/>
          <w:vertAlign w:val="baseline"/>
        </w:rPr>
      </w:pPr>
      <w:r w:rsidRPr="00D965EB">
        <w:rPr>
          <w:rStyle w:val="FootnoteReference"/>
          <w:rFonts w:ascii="IRLotus" w:hAnsi="IRLotus" w:cs="IRLotus"/>
          <w:sz w:val="28"/>
          <w:szCs w:val="28"/>
          <w:vertAlign w:val="baseline"/>
        </w:rPr>
        <w:footnoteRef/>
      </w:r>
      <w:r w:rsidRPr="00D965EB">
        <w:rPr>
          <w:rStyle w:val="FootnoteReference"/>
          <w:rFonts w:ascii="IRLotus" w:hAnsi="IRLotus" w:cs="IRLotus"/>
          <w:sz w:val="28"/>
          <w:szCs w:val="28"/>
          <w:vertAlign w:val="baseline"/>
          <w:rtl/>
        </w:rPr>
        <w:t xml:space="preserve"> </w:t>
      </w:r>
      <w:r w:rsidRPr="00D965EB">
        <w:rPr>
          <w:rStyle w:val="FootnoteReference"/>
          <w:rFonts w:ascii="IRLotus" w:hAnsi="IRLotus" w:cs="IRLotus" w:hint="cs"/>
          <w:sz w:val="28"/>
          <w:szCs w:val="28"/>
          <w:vertAlign w:val="baseline"/>
          <w:rtl/>
        </w:rPr>
        <w:t xml:space="preserve">. بخش پایانی دعای عرفه سیدالشهدا 7 در </w:t>
      </w:r>
      <w:r w:rsidRPr="00D965EB">
        <w:rPr>
          <w:rStyle w:val="FootnoteReference"/>
          <w:rFonts w:ascii="IRLotus" w:hAnsi="IRLotus" w:cs="IRLotus"/>
          <w:sz w:val="28"/>
          <w:szCs w:val="28"/>
          <w:vertAlign w:val="baseline"/>
          <w:rtl/>
        </w:rPr>
        <w:t>إقبال الأعمال، ج‏1، ص: 348</w:t>
      </w:r>
    </w:p>
  </w:footnote>
  <w:footnote w:id="20">
    <w:p w14:paraId="657FBF37" w14:textId="77777777" w:rsidR="007E5AA9" w:rsidRPr="00D965EB" w:rsidRDefault="007E5AA9" w:rsidP="007E5AA9">
      <w:pPr>
        <w:pStyle w:val="FootnoteText"/>
        <w:rPr>
          <w:rStyle w:val="FootnoteReference"/>
          <w:rFonts w:ascii="IRLotus" w:hAnsi="IRLotus" w:cs="IRLotus"/>
          <w:sz w:val="28"/>
          <w:szCs w:val="28"/>
          <w:vertAlign w:val="baseline"/>
        </w:rPr>
      </w:pPr>
      <w:r w:rsidRPr="00D965EB">
        <w:rPr>
          <w:rStyle w:val="FootnoteReference"/>
          <w:rFonts w:ascii="IRLotus" w:hAnsi="IRLotus" w:cs="IRLotus"/>
          <w:sz w:val="28"/>
          <w:szCs w:val="28"/>
          <w:vertAlign w:val="baseline"/>
        </w:rPr>
        <w:footnoteRef/>
      </w:r>
      <w:r w:rsidRPr="00D965EB">
        <w:rPr>
          <w:rStyle w:val="FootnoteReference"/>
          <w:rFonts w:ascii="IRLotus" w:hAnsi="IRLotus" w:cs="IRLotus"/>
          <w:sz w:val="28"/>
          <w:szCs w:val="28"/>
          <w:vertAlign w:val="baseline"/>
          <w:rtl/>
        </w:rPr>
        <w:t xml:space="preserve"> </w:t>
      </w:r>
      <w:r w:rsidRPr="00D965EB">
        <w:rPr>
          <w:rStyle w:val="FootnoteReference"/>
          <w:rFonts w:ascii="IRLotus" w:hAnsi="IRLotus" w:cs="IRLotus" w:hint="cs"/>
          <w:sz w:val="28"/>
          <w:szCs w:val="28"/>
          <w:vertAlign w:val="baseline"/>
          <w:rtl/>
        </w:rPr>
        <w:t xml:space="preserve">. </w:t>
      </w:r>
      <w:r w:rsidRPr="00D965EB">
        <w:rPr>
          <w:rStyle w:val="FootnoteReference"/>
          <w:rFonts w:ascii="IRLotus" w:hAnsi="IRLotus" w:cs="IRLotus"/>
          <w:sz w:val="28"/>
          <w:szCs w:val="28"/>
          <w:vertAlign w:val="baseline"/>
          <w:rtl/>
        </w:rPr>
        <w:t>ديوان حافظ، چاپ قدسى، غزل 330، ص 235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438E"/>
    <w:multiLevelType w:val="hybridMultilevel"/>
    <w:tmpl w:val="CF7085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7A550C"/>
    <w:multiLevelType w:val="hybridMultilevel"/>
    <w:tmpl w:val="F094DC5A"/>
    <w:lvl w:ilvl="0" w:tplc="1DDE3AFE">
      <w:start w:val="1"/>
      <w:numFmt w:val="decimal"/>
      <w:lvlText w:val="%1."/>
      <w:lvlJc w:val="left"/>
      <w:pPr>
        <w:ind w:left="720" w:hanging="360"/>
      </w:pPr>
      <w:rPr>
        <w:sz w:val="36"/>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4F6ED7"/>
    <w:multiLevelType w:val="hybridMultilevel"/>
    <w:tmpl w:val="0786F0D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27162AD"/>
    <w:multiLevelType w:val="hybridMultilevel"/>
    <w:tmpl w:val="C8C0F6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1956B7"/>
    <w:multiLevelType w:val="hybridMultilevel"/>
    <w:tmpl w:val="008C50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F16118"/>
    <w:multiLevelType w:val="hybridMultilevel"/>
    <w:tmpl w:val="FEFEE7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247F6C"/>
    <w:multiLevelType w:val="hybridMultilevel"/>
    <w:tmpl w:val="06C045BA"/>
    <w:lvl w:ilvl="0" w:tplc="ED22F4E4">
      <w:start w:val="3"/>
      <w:numFmt w:val="decimal"/>
      <w:lvlText w:val="%1."/>
      <w:lvlJc w:val="left"/>
      <w:pPr>
        <w:ind w:left="720" w:hanging="720"/>
      </w:pPr>
      <w:rPr>
        <w:rFonts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2"/>
  </w:num>
  <w:num w:numId="4">
    <w:abstractNumId w:val="5"/>
  </w:num>
  <w:num w:numId="5">
    <w:abstractNumId w:val="1"/>
  </w:num>
  <w:num w:numId="6">
    <w:abstractNumId w:val="6"/>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 Ali">
    <w15:presenceInfo w15:providerId="Windows Live" w15:userId="49b904de2c4cce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E6A"/>
    <w:rsid w:val="000425BB"/>
    <w:rsid w:val="000533B1"/>
    <w:rsid w:val="000B07C9"/>
    <w:rsid w:val="000D319F"/>
    <w:rsid w:val="000E68B7"/>
    <w:rsid w:val="000F2A7C"/>
    <w:rsid w:val="000F2DD8"/>
    <w:rsid w:val="00121847"/>
    <w:rsid w:val="00122B12"/>
    <w:rsid w:val="001261BD"/>
    <w:rsid w:val="001548D0"/>
    <w:rsid w:val="00165D47"/>
    <w:rsid w:val="00190E95"/>
    <w:rsid w:val="00195559"/>
    <w:rsid w:val="001C0EB5"/>
    <w:rsid w:val="001C7297"/>
    <w:rsid w:val="001D34CF"/>
    <w:rsid w:val="0021665D"/>
    <w:rsid w:val="00221E2C"/>
    <w:rsid w:val="0024479E"/>
    <w:rsid w:val="0028068C"/>
    <w:rsid w:val="002E4660"/>
    <w:rsid w:val="002E6BC4"/>
    <w:rsid w:val="002F32C4"/>
    <w:rsid w:val="002F565E"/>
    <w:rsid w:val="00307AD9"/>
    <w:rsid w:val="00317573"/>
    <w:rsid w:val="00340ADE"/>
    <w:rsid w:val="00394B42"/>
    <w:rsid w:val="003A3888"/>
    <w:rsid w:val="003B2C2A"/>
    <w:rsid w:val="003C065B"/>
    <w:rsid w:val="004156AC"/>
    <w:rsid w:val="00427620"/>
    <w:rsid w:val="00466650"/>
    <w:rsid w:val="0049605C"/>
    <w:rsid w:val="00496B25"/>
    <w:rsid w:val="004C113F"/>
    <w:rsid w:val="004D48F0"/>
    <w:rsid w:val="004E27F2"/>
    <w:rsid w:val="004E6CB9"/>
    <w:rsid w:val="00502047"/>
    <w:rsid w:val="005066C0"/>
    <w:rsid w:val="00532227"/>
    <w:rsid w:val="00532B89"/>
    <w:rsid w:val="00534F9F"/>
    <w:rsid w:val="00535E61"/>
    <w:rsid w:val="005378B2"/>
    <w:rsid w:val="00592181"/>
    <w:rsid w:val="005971F9"/>
    <w:rsid w:val="005A1124"/>
    <w:rsid w:val="005B2728"/>
    <w:rsid w:val="00660A39"/>
    <w:rsid w:val="00663EDE"/>
    <w:rsid w:val="00676D6D"/>
    <w:rsid w:val="00685ECF"/>
    <w:rsid w:val="006D5ADA"/>
    <w:rsid w:val="006E60CA"/>
    <w:rsid w:val="00706E8D"/>
    <w:rsid w:val="007105E9"/>
    <w:rsid w:val="00712091"/>
    <w:rsid w:val="0072739D"/>
    <w:rsid w:val="00795611"/>
    <w:rsid w:val="007E3895"/>
    <w:rsid w:val="007E5AA9"/>
    <w:rsid w:val="007E60E6"/>
    <w:rsid w:val="00814C6F"/>
    <w:rsid w:val="008227A1"/>
    <w:rsid w:val="00877D8E"/>
    <w:rsid w:val="008C6121"/>
    <w:rsid w:val="008E424C"/>
    <w:rsid w:val="008F3571"/>
    <w:rsid w:val="00911B58"/>
    <w:rsid w:val="00913D82"/>
    <w:rsid w:val="009239C7"/>
    <w:rsid w:val="00947034"/>
    <w:rsid w:val="00964719"/>
    <w:rsid w:val="009E04A0"/>
    <w:rsid w:val="009F7ACB"/>
    <w:rsid w:val="00A13F89"/>
    <w:rsid w:val="00A209BE"/>
    <w:rsid w:val="00A22E6A"/>
    <w:rsid w:val="00AA2354"/>
    <w:rsid w:val="00AE4E47"/>
    <w:rsid w:val="00B15066"/>
    <w:rsid w:val="00B25136"/>
    <w:rsid w:val="00B474D4"/>
    <w:rsid w:val="00B521D7"/>
    <w:rsid w:val="00B523BB"/>
    <w:rsid w:val="00B56CCF"/>
    <w:rsid w:val="00B6036D"/>
    <w:rsid w:val="00BC1605"/>
    <w:rsid w:val="00BD4A5C"/>
    <w:rsid w:val="00BF1EEF"/>
    <w:rsid w:val="00C23183"/>
    <w:rsid w:val="00C31F54"/>
    <w:rsid w:val="00C5750A"/>
    <w:rsid w:val="00C81E66"/>
    <w:rsid w:val="00CA1F2A"/>
    <w:rsid w:val="00CE2806"/>
    <w:rsid w:val="00D03DFB"/>
    <w:rsid w:val="00D21A05"/>
    <w:rsid w:val="00D7198C"/>
    <w:rsid w:val="00D7252A"/>
    <w:rsid w:val="00DF730C"/>
    <w:rsid w:val="00E41CCC"/>
    <w:rsid w:val="00E55213"/>
    <w:rsid w:val="00E57EDD"/>
    <w:rsid w:val="00E76333"/>
    <w:rsid w:val="00E973AC"/>
    <w:rsid w:val="00EA685D"/>
    <w:rsid w:val="00EB4541"/>
    <w:rsid w:val="00EB5C2D"/>
    <w:rsid w:val="00EC6E1C"/>
    <w:rsid w:val="00ED56B5"/>
    <w:rsid w:val="00EE362E"/>
    <w:rsid w:val="00F166B2"/>
    <w:rsid w:val="00F27590"/>
    <w:rsid w:val="00F86EE8"/>
    <w:rsid w:val="00FA52D7"/>
    <w:rsid w:val="00FC334B"/>
    <w:rsid w:val="00FD2276"/>
    <w:rsid w:val="00FE29FF"/>
    <w:rsid w:val="00FE6D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86390"/>
  <w15:chartTrackingRefBased/>
  <w15:docId w15:val="{031AAF93-1347-4601-B652-586D1DAE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RBadr" w:eastAsiaTheme="minorHAnsi" w:hAnsi="IRBadr" w:cs="IRBadr"/>
        <w:sz w:val="36"/>
        <w:szCs w:val="32"/>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fa-IR"/>
    </w:rPr>
  </w:style>
  <w:style w:type="paragraph" w:styleId="Heading1">
    <w:name w:val="heading 1"/>
    <w:aliases w:val="حدیث"/>
    <w:basedOn w:val="Normal"/>
    <w:next w:val="Normal"/>
    <w:link w:val="Heading1Char"/>
    <w:autoRedefine/>
    <w:uiPriority w:val="9"/>
    <w:qFormat/>
    <w:rsid w:val="0024479E"/>
    <w:pPr>
      <w:keepNext/>
      <w:keepLines/>
      <w:spacing w:before="240"/>
      <w:jc w:val="center"/>
      <w:outlineLvl w:val="0"/>
    </w:pPr>
    <w:rPr>
      <w:rFonts w:asciiTheme="majorHAnsi" w:eastAsiaTheme="majorEastAsia" w:hAnsiTheme="majorHAnsi" w:cs="Times New Roman"/>
      <w:color w:val="000000" w:themeColor="text1"/>
      <w:sz w:val="32"/>
      <w:szCs w:val="36"/>
    </w:rPr>
  </w:style>
  <w:style w:type="paragraph" w:styleId="Heading2">
    <w:name w:val="heading 2"/>
    <w:aliases w:val="پاورقی"/>
    <w:basedOn w:val="Normal"/>
    <w:next w:val="Normal"/>
    <w:link w:val="Heading2Char"/>
    <w:uiPriority w:val="9"/>
    <w:unhideWhenUsed/>
    <w:qFormat/>
    <w:rsid w:val="00A209BE"/>
    <w:pPr>
      <w:keepNext/>
      <w:keepLines/>
      <w:spacing w:before="40"/>
      <w:outlineLvl w:val="1"/>
    </w:pPr>
    <w:rPr>
      <w:rFonts w:eastAsiaTheme="majorEastAsia"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پاورقی Char"/>
    <w:basedOn w:val="DefaultParagraphFont"/>
    <w:link w:val="Heading2"/>
    <w:uiPriority w:val="9"/>
    <w:rsid w:val="00A209BE"/>
    <w:rPr>
      <w:rFonts w:eastAsiaTheme="majorEastAsia" w:cstheme="majorBidi"/>
      <w:sz w:val="28"/>
      <w:szCs w:val="26"/>
    </w:rPr>
  </w:style>
  <w:style w:type="character" w:customStyle="1" w:styleId="Heading1Char">
    <w:name w:val="Heading 1 Char"/>
    <w:aliases w:val="حدیث Char"/>
    <w:basedOn w:val="DefaultParagraphFont"/>
    <w:link w:val="Heading1"/>
    <w:uiPriority w:val="9"/>
    <w:rsid w:val="0024479E"/>
    <w:rPr>
      <w:rFonts w:asciiTheme="majorHAnsi" w:eastAsiaTheme="majorEastAsia" w:hAnsiTheme="majorHAnsi" w:cs="Times New Roman"/>
      <w:color w:val="000000" w:themeColor="text1"/>
      <w:sz w:val="32"/>
      <w:szCs w:val="36"/>
      <w:lang w:bidi="fa-IR"/>
    </w:rPr>
  </w:style>
  <w:style w:type="paragraph" w:styleId="FootnoteText">
    <w:name w:val="footnote text"/>
    <w:basedOn w:val="Normal"/>
    <w:link w:val="FootnoteTextChar"/>
    <w:uiPriority w:val="99"/>
    <w:semiHidden/>
    <w:unhideWhenUsed/>
    <w:rsid w:val="00A22E6A"/>
    <w:rPr>
      <w:rFonts w:ascii="Traditional Arabic" w:hAnsi="Traditional Arabic" w:cs="Traditional Arabic"/>
      <w:sz w:val="20"/>
      <w:szCs w:val="20"/>
      <w:lang w:bidi="ar-SA"/>
    </w:rPr>
  </w:style>
  <w:style w:type="character" w:customStyle="1" w:styleId="FootnoteTextChar">
    <w:name w:val="Footnote Text Char"/>
    <w:basedOn w:val="DefaultParagraphFont"/>
    <w:link w:val="FootnoteText"/>
    <w:uiPriority w:val="99"/>
    <w:semiHidden/>
    <w:rsid w:val="00A22E6A"/>
    <w:rPr>
      <w:rFonts w:ascii="Traditional Arabic" w:hAnsi="Traditional Arabic" w:cs="Traditional Arabic"/>
      <w:sz w:val="20"/>
      <w:szCs w:val="20"/>
    </w:rPr>
  </w:style>
  <w:style w:type="character" w:styleId="FootnoteReference">
    <w:name w:val="footnote reference"/>
    <w:basedOn w:val="DefaultParagraphFont"/>
    <w:uiPriority w:val="99"/>
    <w:semiHidden/>
    <w:unhideWhenUsed/>
    <w:rsid w:val="00A22E6A"/>
    <w:rPr>
      <w:vertAlign w:val="superscript"/>
    </w:rPr>
  </w:style>
  <w:style w:type="paragraph" w:styleId="NormalWeb">
    <w:name w:val="Normal (Web)"/>
    <w:basedOn w:val="Normal"/>
    <w:uiPriority w:val="99"/>
    <w:unhideWhenUsed/>
    <w:rsid w:val="00A22E6A"/>
    <w:pPr>
      <w:bidi w:val="0"/>
      <w:spacing w:before="100" w:beforeAutospacing="1" w:after="100" w:afterAutospacing="1"/>
      <w:jc w:val="left"/>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A22E6A"/>
    <w:pPr>
      <w:contextualSpacing/>
    </w:pPr>
    <w:rPr>
      <w:rFonts w:asciiTheme="majorHAnsi" w:eastAsiaTheme="majorEastAsia" w:hAnsiTheme="majorHAnsi" w:cs="IRTitr"/>
      <w:spacing w:val="-10"/>
      <w:kern w:val="28"/>
      <w:sz w:val="56"/>
      <w:szCs w:val="56"/>
    </w:rPr>
  </w:style>
  <w:style w:type="character" w:customStyle="1" w:styleId="TitleChar">
    <w:name w:val="Title Char"/>
    <w:basedOn w:val="DefaultParagraphFont"/>
    <w:link w:val="Title"/>
    <w:uiPriority w:val="10"/>
    <w:rsid w:val="00A22E6A"/>
    <w:rPr>
      <w:rFonts w:asciiTheme="majorHAnsi" w:eastAsiaTheme="majorEastAsia" w:hAnsiTheme="majorHAnsi" w:cs="IRTitr"/>
      <w:spacing w:val="-10"/>
      <w:kern w:val="28"/>
      <w:sz w:val="56"/>
      <w:szCs w:val="56"/>
      <w:lang w:bidi="fa-IR"/>
    </w:rPr>
  </w:style>
  <w:style w:type="paragraph" w:styleId="ListParagraph">
    <w:name w:val="List Paragraph"/>
    <w:basedOn w:val="Normal"/>
    <w:uiPriority w:val="34"/>
    <w:qFormat/>
    <w:rsid w:val="0024479E"/>
    <w:pPr>
      <w:ind w:left="720"/>
      <w:contextualSpacing/>
    </w:pPr>
  </w:style>
  <w:style w:type="character" w:styleId="CommentReference">
    <w:name w:val="annotation reference"/>
    <w:basedOn w:val="DefaultParagraphFont"/>
    <w:uiPriority w:val="99"/>
    <w:semiHidden/>
    <w:unhideWhenUsed/>
    <w:rsid w:val="0072739D"/>
    <w:rPr>
      <w:sz w:val="16"/>
      <w:szCs w:val="16"/>
    </w:rPr>
  </w:style>
  <w:style w:type="paragraph" w:styleId="CommentText">
    <w:name w:val="annotation text"/>
    <w:basedOn w:val="Normal"/>
    <w:link w:val="CommentTextChar"/>
    <w:uiPriority w:val="99"/>
    <w:semiHidden/>
    <w:unhideWhenUsed/>
    <w:rsid w:val="0072739D"/>
    <w:rPr>
      <w:sz w:val="20"/>
      <w:szCs w:val="20"/>
    </w:rPr>
  </w:style>
  <w:style w:type="character" w:customStyle="1" w:styleId="CommentTextChar">
    <w:name w:val="Comment Text Char"/>
    <w:basedOn w:val="DefaultParagraphFont"/>
    <w:link w:val="CommentText"/>
    <w:uiPriority w:val="99"/>
    <w:semiHidden/>
    <w:rsid w:val="0072739D"/>
    <w:rPr>
      <w:sz w:val="20"/>
      <w:szCs w:val="20"/>
      <w:lang w:bidi="fa-IR"/>
    </w:rPr>
  </w:style>
  <w:style w:type="paragraph" w:styleId="CommentSubject">
    <w:name w:val="annotation subject"/>
    <w:basedOn w:val="CommentText"/>
    <w:next w:val="CommentText"/>
    <w:link w:val="CommentSubjectChar"/>
    <w:uiPriority w:val="99"/>
    <w:semiHidden/>
    <w:unhideWhenUsed/>
    <w:rsid w:val="0072739D"/>
    <w:rPr>
      <w:b/>
      <w:bCs/>
    </w:rPr>
  </w:style>
  <w:style w:type="character" w:customStyle="1" w:styleId="CommentSubjectChar">
    <w:name w:val="Comment Subject Char"/>
    <w:basedOn w:val="CommentTextChar"/>
    <w:link w:val="CommentSubject"/>
    <w:uiPriority w:val="99"/>
    <w:semiHidden/>
    <w:rsid w:val="0072739D"/>
    <w:rPr>
      <w:b/>
      <w:bCs/>
      <w:sz w:val="20"/>
      <w:szCs w:val="20"/>
      <w:lang w:bidi="fa-IR"/>
    </w:rPr>
  </w:style>
  <w:style w:type="paragraph" w:styleId="BalloonText">
    <w:name w:val="Balloon Text"/>
    <w:basedOn w:val="Normal"/>
    <w:link w:val="BalloonTextChar"/>
    <w:uiPriority w:val="99"/>
    <w:semiHidden/>
    <w:unhideWhenUsed/>
    <w:rsid w:val="00727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39D"/>
    <w:rPr>
      <w:rFonts w:ascii="Segoe UI" w:hAnsi="Segoe UI" w:cs="Segoe UI"/>
      <w:sz w:val="18"/>
      <w:szCs w:val="1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1310">
      <w:bodyDiv w:val="1"/>
      <w:marLeft w:val="0"/>
      <w:marRight w:val="0"/>
      <w:marTop w:val="0"/>
      <w:marBottom w:val="0"/>
      <w:divBdr>
        <w:top w:val="none" w:sz="0" w:space="0" w:color="auto"/>
        <w:left w:val="none" w:sz="0" w:space="0" w:color="auto"/>
        <w:bottom w:val="none" w:sz="0" w:space="0" w:color="auto"/>
        <w:right w:val="none" w:sz="0" w:space="0" w:color="auto"/>
      </w:divBdr>
    </w:div>
    <w:div w:id="216085417">
      <w:bodyDiv w:val="1"/>
      <w:marLeft w:val="0"/>
      <w:marRight w:val="0"/>
      <w:marTop w:val="0"/>
      <w:marBottom w:val="0"/>
      <w:divBdr>
        <w:top w:val="none" w:sz="0" w:space="0" w:color="auto"/>
        <w:left w:val="none" w:sz="0" w:space="0" w:color="auto"/>
        <w:bottom w:val="none" w:sz="0" w:space="0" w:color="auto"/>
        <w:right w:val="none" w:sz="0" w:space="0" w:color="auto"/>
      </w:divBdr>
    </w:div>
    <w:div w:id="276104419">
      <w:bodyDiv w:val="1"/>
      <w:marLeft w:val="0"/>
      <w:marRight w:val="0"/>
      <w:marTop w:val="0"/>
      <w:marBottom w:val="0"/>
      <w:divBdr>
        <w:top w:val="none" w:sz="0" w:space="0" w:color="auto"/>
        <w:left w:val="none" w:sz="0" w:space="0" w:color="auto"/>
        <w:bottom w:val="none" w:sz="0" w:space="0" w:color="auto"/>
        <w:right w:val="none" w:sz="0" w:space="0" w:color="auto"/>
      </w:divBdr>
    </w:div>
    <w:div w:id="298849540">
      <w:bodyDiv w:val="1"/>
      <w:marLeft w:val="0"/>
      <w:marRight w:val="0"/>
      <w:marTop w:val="0"/>
      <w:marBottom w:val="0"/>
      <w:divBdr>
        <w:top w:val="none" w:sz="0" w:space="0" w:color="auto"/>
        <w:left w:val="none" w:sz="0" w:space="0" w:color="auto"/>
        <w:bottom w:val="none" w:sz="0" w:space="0" w:color="auto"/>
        <w:right w:val="none" w:sz="0" w:space="0" w:color="auto"/>
      </w:divBdr>
    </w:div>
    <w:div w:id="356346809">
      <w:bodyDiv w:val="1"/>
      <w:marLeft w:val="0"/>
      <w:marRight w:val="0"/>
      <w:marTop w:val="0"/>
      <w:marBottom w:val="0"/>
      <w:divBdr>
        <w:top w:val="none" w:sz="0" w:space="0" w:color="auto"/>
        <w:left w:val="none" w:sz="0" w:space="0" w:color="auto"/>
        <w:bottom w:val="none" w:sz="0" w:space="0" w:color="auto"/>
        <w:right w:val="none" w:sz="0" w:space="0" w:color="auto"/>
      </w:divBdr>
    </w:div>
    <w:div w:id="400719761">
      <w:bodyDiv w:val="1"/>
      <w:marLeft w:val="0"/>
      <w:marRight w:val="0"/>
      <w:marTop w:val="0"/>
      <w:marBottom w:val="0"/>
      <w:divBdr>
        <w:top w:val="none" w:sz="0" w:space="0" w:color="auto"/>
        <w:left w:val="none" w:sz="0" w:space="0" w:color="auto"/>
        <w:bottom w:val="none" w:sz="0" w:space="0" w:color="auto"/>
        <w:right w:val="none" w:sz="0" w:space="0" w:color="auto"/>
      </w:divBdr>
    </w:div>
    <w:div w:id="510530926">
      <w:bodyDiv w:val="1"/>
      <w:marLeft w:val="0"/>
      <w:marRight w:val="0"/>
      <w:marTop w:val="0"/>
      <w:marBottom w:val="0"/>
      <w:divBdr>
        <w:top w:val="none" w:sz="0" w:space="0" w:color="auto"/>
        <w:left w:val="none" w:sz="0" w:space="0" w:color="auto"/>
        <w:bottom w:val="none" w:sz="0" w:space="0" w:color="auto"/>
        <w:right w:val="none" w:sz="0" w:space="0" w:color="auto"/>
      </w:divBdr>
    </w:div>
    <w:div w:id="633020082">
      <w:bodyDiv w:val="1"/>
      <w:marLeft w:val="0"/>
      <w:marRight w:val="0"/>
      <w:marTop w:val="0"/>
      <w:marBottom w:val="0"/>
      <w:divBdr>
        <w:top w:val="none" w:sz="0" w:space="0" w:color="auto"/>
        <w:left w:val="none" w:sz="0" w:space="0" w:color="auto"/>
        <w:bottom w:val="none" w:sz="0" w:space="0" w:color="auto"/>
        <w:right w:val="none" w:sz="0" w:space="0" w:color="auto"/>
      </w:divBdr>
    </w:div>
    <w:div w:id="663242953">
      <w:bodyDiv w:val="1"/>
      <w:marLeft w:val="0"/>
      <w:marRight w:val="0"/>
      <w:marTop w:val="0"/>
      <w:marBottom w:val="0"/>
      <w:divBdr>
        <w:top w:val="none" w:sz="0" w:space="0" w:color="auto"/>
        <w:left w:val="none" w:sz="0" w:space="0" w:color="auto"/>
        <w:bottom w:val="none" w:sz="0" w:space="0" w:color="auto"/>
        <w:right w:val="none" w:sz="0" w:space="0" w:color="auto"/>
      </w:divBdr>
    </w:div>
    <w:div w:id="784039579">
      <w:bodyDiv w:val="1"/>
      <w:marLeft w:val="0"/>
      <w:marRight w:val="0"/>
      <w:marTop w:val="0"/>
      <w:marBottom w:val="0"/>
      <w:divBdr>
        <w:top w:val="none" w:sz="0" w:space="0" w:color="auto"/>
        <w:left w:val="none" w:sz="0" w:space="0" w:color="auto"/>
        <w:bottom w:val="none" w:sz="0" w:space="0" w:color="auto"/>
        <w:right w:val="none" w:sz="0" w:space="0" w:color="auto"/>
      </w:divBdr>
    </w:div>
    <w:div w:id="818769851">
      <w:bodyDiv w:val="1"/>
      <w:marLeft w:val="0"/>
      <w:marRight w:val="0"/>
      <w:marTop w:val="0"/>
      <w:marBottom w:val="0"/>
      <w:divBdr>
        <w:top w:val="none" w:sz="0" w:space="0" w:color="auto"/>
        <w:left w:val="none" w:sz="0" w:space="0" w:color="auto"/>
        <w:bottom w:val="none" w:sz="0" w:space="0" w:color="auto"/>
        <w:right w:val="none" w:sz="0" w:space="0" w:color="auto"/>
      </w:divBdr>
    </w:div>
    <w:div w:id="1226912627">
      <w:bodyDiv w:val="1"/>
      <w:marLeft w:val="0"/>
      <w:marRight w:val="0"/>
      <w:marTop w:val="0"/>
      <w:marBottom w:val="0"/>
      <w:divBdr>
        <w:top w:val="none" w:sz="0" w:space="0" w:color="auto"/>
        <w:left w:val="none" w:sz="0" w:space="0" w:color="auto"/>
        <w:bottom w:val="none" w:sz="0" w:space="0" w:color="auto"/>
        <w:right w:val="none" w:sz="0" w:space="0" w:color="auto"/>
      </w:divBdr>
    </w:div>
    <w:div w:id="1265381334">
      <w:bodyDiv w:val="1"/>
      <w:marLeft w:val="0"/>
      <w:marRight w:val="0"/>
      <w:marTop w:val="0"/>
      <w:marBottom w:val="0"/>
      <w:divBdr>
        <w:top w:val="none" w:sz="0" w:space="0" w:color="auto"/>
        <w:left w:val="none" w:sz="0" w:space="0" w:color="auto"/>
        <w:bottom w:val="none" w:sz="0" w:space="0" w:color="auto"/>
        <w:right w:val="none" w:sz="0" w:space="0" w:color="auto"/>
      </w:divBdr>
    </w:div>
    <w:div w:id="1279095621">
      <w:bodyDiv w:val="1"/>
      <w:marLeft w:val="0"/>
      <w:marRight w:val="0"/>
      <w:marTop w:val="0"/>
      <w:marBottom w:val="0"/>
      <w:divBdr>
        <w:top w:val="none" w:sz="0" w:space="0" w:color="auto"/>
        <w:left w:val="none" w:sz="0" w:space="0" w:color="auto"/>
        <w:bottom w:val="none" w:sz="0" w:space="0" w:color="auto"/>
        <w:right w:val="none" w:sz="0" w:space="0" w:color="auto"/>
      </w:divBdr>
    </w:div>
    <w:div w:id="1302617049">
      <w:bodyDiv w:val="1"/>
      <w:marLeft w:val="0"/>
      <w:marRight w:val="0"/>
      <w:marTop w:val="0"/>
      <w:marBottom w:val="0"/>
      <w:divBdr>
        <w:top w:val="none" w:sz="0" w:space="0" w:color="auto"/>
        <w:left w:val="none" w:sz="0" w:space="0" w:color="auto"/>
        <w:bottom w:val="none" w:sz="0" w:space="0" w:color="auto"/>
        <w:right w:val="none" w:sz="0" w:space="0" w:color="auto"/>
      </w:divBdr>
    </w:div>
    <w:div w:id="1545556731">
      <w:bodyDiv w:val="1"/>
      <w:marLeft w:val="0"/>
      <w:marRight w:val="0"/>
      <w:marTop w:val="0"/>
      <w:marBottom w:val="0"/>
      <w:divBdr>
        <w:top w:val="none" w:sz="0" w:space="0" w:color="auto"/>
        <w:left w:val="none" w:sz="0" w:space="0" w:color="auto"/>
        <w:bottom w:val="none" w:sz="0" w:space="0" w:color="auto"/>
        <w:right w:val="none" w:sz="0" w:space="0" w:color="auto"/>
      </w:divBdr>
    </w:div>
    <w:div w:id="1599675441">
      <w:bodyDiv w:val="1"/>
      <w:marLeft w:val="0"/>
      <w:marRight w:val="0"/>
      <w:marTop w:val="0"/>
      <w:marBottom w:val="0"/>
      <w:divBdr>
        <w:top w:val="none" w:sz="0" w:space="0" w:color="auto"/>
        <w:left w:val="none" w:sz="0" w:space="0" w:color="auto"/>
        <w:bottom w:val="none" w:sz="0" w:space="0" w:color="auto"/>
        <w:right w:val="none" w:sz="0" w:space="0" w:color="auto"/>
      </w:divBdr>
    </w:div>
    <w:div w:id="1804040780">
      <w:bodyDiv w:val="1"/>
      <w:marLeft w:val="0"/>
      <w:marRight w:val="0"/>
      <w:marTop w:val="0"/>
      <w:marBottom w:val="0"/>
      <w:divBdr>
        <w:top w:val="none" w:sz="0" w:space="0" w:color="auto"/>
        <w:left w:val="none" w:sz="0" w:space="0" w:color="auto"/>
        <w:bottom w:val="none" w:sz="0" w:space="0" w:color="auto"/>
        <w:right w:val="none" w:sz="0" w:space="0" w:color="auto"/>
      </w:divBdr>
    </w:div>
    <w:div w:id="1923179343">
      <w:bodyDiv w:val="1"/>
      <w:marLeft w:val="0"/>
      <w:marRight w:val="0"/>
      <w:marTop w:val="0"/>
      <w:marBottom w:val="0"/>
      <w:divBdr>
        <w:top w:val="none" w:sz="0" w:space="0" w:color="auto"/>
        <w:left w:val="none" w:sz="0" w:space="0" w:color="auto"/>
        <w:bottom w:val="none" w:sz="0" w:space="0" w:color="auto"/>
        <w:right w:val="none" w:sz="0" w:space="0" w:color="auto"/>
      </w:divBdr>
    </w:div>
    <w:div w:id="1935554497">
      <w:bodyDiv w:val="1"/>
      <w:marLeft w:val="0"/>
      <w:marRight w:val="0"/>
      <w:marTop w:val="0"/>
      <w:marBottom w:val="0"/>
      <w:divBdr>
        <w:top w:val="none" w:sz="0" w:space="0" w:color="auto"/>
        <w:left w:val="none" w:sz="0" w:space="0" w:color="auto"/>
        <w:bottom w:val="none" w:sz="0" w:space="0" w:color="auto"/>
        <w:right w:val="none" w:sz="0" w:space="0" w:color="auto"/>
      </w:divBdr>
    </w:div>
    <w:div w:id="1965307188">
      <w:bodyDiv w:val="1"/>
      <w:marLeft w:val="0"/>
      <w:marRight w:val="0"/>
      <w:marTop w:val="0"/>
      <w:marBottom w:val="0"/>
      <w:divBdr>
        <w:top w:val="none" w:sz="0" w:space="0" w:color="auto"/>
        <w:left w:val="none" w:sz="0" w:space="0" w:color="auto"/>
        <w:bottom w:val="none" w:sz="0" w:space="0" w:color="auto"/>
        <w:right w:val="none" w:sz="0" w:space="0" w:color="auto"/>
      </w:divBdr>
    </w:div>
    <w:div w:id="198516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1349</TotalTime>
  <Pages>5</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Abdulahad Gharari</dc:creator>
  <cp:keywords/>
  <dc:description/>
  <cp:lastModifiedBy>Microsoft account</cp:lastModifiedBy>
  <cp:revision>88</cp:revision>
  <cp:lastPrinted>2025-05-15T14:37:00Z</cp:lastPrinted>
  <dcterms:created xsi:type="dcterms:W3CDTF">2024-11-05T13:51:00Z</dcterms:created>
  <dcterms:modified xsi:type="dcterms:W3CDTF">2025-05-15T16:05:00Z</dcterms:modified>
</cp:coreProperties>
</file>