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A" w:rsidRPr="0024479E" w:rsidRDefault="00A22E6A" w:rsidP="0024479E">
      <w:pPr>
        <w:pStyle w:val="Title"/>
        <w:numPr>
          <w:ilvl w:val="0"/>
          <w:numId w:val="2"/>
        </w:numPr>
        <w:jc w:val="center"/>
      </w:pPr>
      <w:r w:rsidRPr="0024479E">
        <w:rPr>
          <w:rtl/>
        </w:rPr>
        <w:t>شفيعان روز جزا</w:t>
      </w:r>
      <w:r w:rsidR="0024479E" w:rsidRPr="0024479E">
        <w:rPr>
          <w:rFonts w:hint="cs"/>
          <w:rtl/>
        </w:rPr>
        <w:t xml:space="preserve"> 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(تفسير نمونه </w:t>
      </w:r>
      <w:r w:rsidR="0024479E" w:rsidRPr="0024479E">
        <w:rPr>
          <w:rFonts w:ascii="Cambria" w:hAnsi="Cambria" w:cs="Cambria" w:hint="cs"/>
          <w:sz w:val="36"/>
          <w:szCs w:val="36"/>
          <w:rtl/>
        </w:rPr>
        <w:t>  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 ج‏25 </w:t>
      </w:r>
      <w:r w:rsidR="0024479E" w:rsidRPr="0024479E">
        <w:rPr>
          <w:rFonts w:ascii="Cambria" w:hAnsi="Cambria" w:cs="Cambria" w:hint="cs"/>
          <w:sz w:val="36"/>
          <w:szCs w:val="36"/>
          <w:rtl/>
        </w:rPr>
        <w:t>  </w:t>
      </w:r>
      <w:r w:rsidR="0024479E" w:rsidRPr="0024479E">
        <w:rPr>
          <w:rFonts w:ascii="IRNazanin" w:hAnsi="IRNazanin" w:cs="IRNazanin"/>
          <w:sz w:val="36"/>
          <w:szCs w:val="36"/>
          <w:rtl/>
        </w:rPr>
        <w:t xml:space="preserve"> 257)</w:t>
      </w:r>
    </w:p>
    <w:p w:rsidR="008F3571" w:rsidRDefault="00113765" w:rsidP="00113765">
      <w:pPr>
        <w:rPr>
          <w:color w:val="000000" w:themeColor="text1"/>
          <w:sz w:val="40"/>
          <w:szCs w:val="36"/>
          <w:rtl/>
        </w:rPr>
      </w:pPr>
      <w:r>
        <w:rPr>
          <w:rFonts w:hint="cs"/>
          <w:color w:val="000000" w:themeColor="text1"/>
          <w:sz w:val="40"/>
          <w:szCs w:val="36"/>
          <w:rtl/>
        </w:rPr>
        <w:t>...</w:t>
      </w:r>
      <w:r w:rsidR="00663EDE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</w:t>
      </w:r>
    </w:p>
    <w:p w:rsidR="00A22E6A" w:rsidRDefault="00A22E6A" w:rsidP="008F3571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8- قرآن‏ نيز در روز قيامت‏ شفاعت‏ مى‏كند چنان كه على ع فرمود: و اعلموا انه (القرآن) شافع مشفع‏</w:t>
      </w:r>
      <w:r w:rsidRPr="0024479E">
        <w:rPr>
          <w:rStyle w:val="FootnoteReference"/>
          <w:color w:val="000000" w:themeColor="text1"/>
          <w:sz w:val="32"/>
          <w:rtl/>
        </w:rPr>
        <w:footnoteReference w:id="1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195559" w:rsidRPr="0024479E" w:rsidRDefault="00195559" w:rsidP="004673E5">
      <w:pPr>
        <w:rPr>
          <w:color w:val="000000" w:themeColor="text1"/>
          <w:sz w:val="40"/>
          <w:szCs w:val="36"/>
          <w:rtl/>
        </w:rPr>
      </w:pP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>تعبیر مشفع نمی‌تواند قید احترازی</w:t>
      </w:r>
      <w:r w:rsidR="00340ADE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(از غیر اسباب مادی)</w:t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باشد چرا که به حسب دلیل عقل</w:t>
      </w:r>
      <w:r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2"/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و نقل</w:t>
      </w:r>
      <w:r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3"/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>، همه شفعای عالم معنا مشفع اند. غرض از تقیید</w:t>
      </w:r>
      <w:r w:rsidR="000D319F">
        <w:rPr>
          <w:rFonts w:hint="cs"/>
          <w:color w:val="000000" w:themeColor="text1"/>
          <w:sz w:val="40"/>
          <w:szCs w:val="36"/>
          <w:highlight w:val="green"/>
          <w:rtl/>
        </w:rPr>
        <w:t>،</w:t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یا تشدید </w:t>
      </w:r>
      <w:r w:rsidR="00340ADE">
        <w:rPr>
          <w:rFonts w:hint="cs"/>
          <w:color w:val="000000" w:themeColor="text1"/>
          <w:sz w:val="40"/>
          <w:szCs w:val="36"/>
          <w:highlight w:val="green"/>
          <w:rtl/>
        </w:rPr>
        <w:t>انبعاث</w:t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مخاطب به اقبال به سوی قرآن است و یا دال </w:t>
      </w:r>
      <w:r w:rsidR="004673E5">
        <w:rPr>
          <w:rFonts w:hint="cs"/>
          <w:color w:val="000000" w:themeColor="text1"/>
          <w:sz w:val="40"/>
          <w:szCs w:val="36"/>
          <w:highlight w:val="green"/>
          <w:rtl/>
        </w:rPr>
        <w:t xml:space="preserve">است </w:t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>بر اینکه مرتبه شفاعت قرآن به بیانی که در ذیل خبر آغازین گذشت در مرتبه بالایی است و این با معانی باب تفعیل نیز مناسبت دارد</w:t>
      </w:r>
      <w:r w:rsidR="004673E5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و یا دال است بر اینکه ترتب اثر بر شفاعت قرآن بر امور دیگر متوقف نیست</w:t>
      </w:r>
      <w:r w:rsidRPr="00195559">
        <w:rPr>
          <w:rFonts w:hint="cs"/>
          <w:color w:val="000000" w:themeColor="text1"/>
          <w:sz w:val="40"/>
          <w:szCs w:val="36"/>
          <w:highlight w:val="green"/>
          <w:rtl/>
        </w:rPr>
        <w:t>.</w:t>
      </w:r>
    </w:p>
    <w:p w:rsidR="00A22E6A" w:rsidRPr="0024479E" w:rsidRDefault="00A22E6A" w:rsidP="0024479E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9- كسانى كه عمرى در اسلام صرف كرده‏اند، چنان كه در حديثى از پيغمبر اكرم ص مى‏خوانيم:</w:t>
      </w:r>
    </w:p>
    <w:p w:rsidR="00A22E6A" w:rsidRDefault="00A22E6A" w:rsidP="0024479E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اذا بلغ الرجل التسعين غفر اللَّه ما تقدم من ذنبه و ما تاخر و شفع فى اهله‏</w:t>
      </w:r>
      <w:r w:rsidRPr="0024479E">
        <w:rPr>
          <w:rStyle w:val="FootnoteReference"/>
          <w:color w:val="000000" w:themeColor="text1"/>
          <w:sz w:val="32"/>
          <w:rtl/>
        </w:rPr>
        <w:footnoteReference w:id="4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B6036D" w:rsidRPr="0024479E" w:rsidRDefault="00B6036D" w:rsidP="00113765">
      <w:pPr>
        <w:rPr>
          <w:color w:val="000000" w:themeColor="text1"/>
          <w:sz w:val="40"/>
          <w:szCs w:val="36"/>
          <w:rtl/>
        </w:rPr>
      </w:pPr>
      <w:r w:rsidRPr="00113765">
        <w:rPr>
          <w:rFonts w:hint="cs"/>
          <w:color w:val="000000" w:themeColor="text1"/>
          <w:sz w:val="40"/>
          <w:szCs w:val="36"/>
          <w:highlight w:val="green"/>
          <w:rtl/>
        </w:rPr>
        <w:t>بلکه در برخی اخبار شفاعت اطفال نیز وارد است: «</w:t>
      </w:r>
      <w:r w:rsidRPr="00113765">
        <w:rPr>
          <w:color w:val="000000" w:themeColor="text1"/>
          <w:sz w:val="40"/>
          <w:szCs w:val="36"/>
          <w:highlight w:val="green"/>
          <w:rtl/>
        </w:rPr>
        <w:t>تجي‏ء يوم القيامة أطفال المؤمنين عند</w:t>
      </w:r>
      <w:r w:rsidR="00113765" w:rsidRPr="00113765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</w:t>
      </w:r>
      <w:r w:rsidRPr="00113765">
        <w:rPr>
          <w:color w:val="000000" w:themeColor="text1"/>
          <w:sz w:val="40"/>
          <w:szCs w:val="36"/>
          <w:highlight w:val="green"/>
          <w:rtl/>
        </w:rPr>
        <w:t>عرض الخلائق للحساب فيقول الله تعالى لجبرئيل ع اذهب بهؤلاء إلى الجنة فيقفون على أبواب الجنة و يسألون عن آبائهم و أمهاتهم فتقول لهم الخزنة آباؤكم و أمهاتكم ليسوا كأمثالكم لهم ذنوب و سيئات يطالبون بها فيصيحون صيحة باكين فيقول الله سبحانه و تعالى يا جبرئيل ما هذه الصيحة فيقول اللهم أنت أعلم هؤلاء أطفال المؤمنين يقولون لا ندخل الجنة حتى يدخل آباؤنا و أمهاتنا فيقول الله سبحانه و تعالى يا جبرئيل- تخلل الجمع و خذ بيد آبائهم و أم</w:t>
      </w:r>
      <w:r w:rsidR="00B25136" w:rsidRPr="00113765">
        <w:rPr>
          <w:color w:val="000000" w:themeColor="text1"/>
          <w:sz w:val="40"/>
          <w:szCs w:val="36"/>
          <w:highlight w:val="green"/>
          <w:rtl/>
        </w:rPr>
        <w:t>هاتهم فأدخلهم معهم الجنة برحمتي</w:t>
      </w:r>
      <w:r w:rsidR="00B25136" w:rsidRPr="00113765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5"/>
      </w:r>
      <w:r w:rsidRPr="00113765">
        <w:rPr>
          <w:rFonts w:hint="cs"/>
          <w:color w:val="000000" w:themeColor="text1"/>
          <w:sz w:val="40"/>
          <w:szCs w:val="36"/>
          <w:highlight w:val="green"/>
          <w:rtl/>
        </w:rPr>
        <w:t>»</w:t>
      </w:r>
    </w:p>
    <w:p w:rsidR="00A22E6A" w:rsidRPr="0024479E" w:rsidRDefault="00A22E6A" w:rsidP="0024479E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lastRenderedPageBreak/>
        <w:t>10- عبادات نيز شفاعت مى‏كنند، چنان كه در حديثى از رسول خدا ص آمده است:</w:t>
      </w:r>
    </w:p>
    <w:p w:rsidR="00A22E6A" w:rsidRDefault="00A22E6A" w:rsidP="0024479E">
      <w:pPr>
        <w:rPr>
          <w:color w:val="000000" w:themeColor="text1"/>
          <w:sz w:val="40"/>
          <w:szCs w:val="36"/>
          <w:rtl/>
        </w:rPr>
      </w:pPr>
      <w:r w:rsidRPr="0024479E">
        <w:rPr>
          <w:rFonts w:hint="cs"/>
          <w:color w:val="000000" w:themeColor="text1"/>
          <w:sz w:val="40"/>
          <w:szCs w:val="36"/>
          <w:rtl/>
        </w:rPr>
        <w:t>الصيام و القرآن يشفعان للعبد يوم القيامة"</w:t>
      </w:r>
      <w:r w:rsidRPr="0024479E">
        <w:rPr>
          <w:rStyle w:val="FootnoteReference"/>
          <w:color w:val="000000" w:themeColor="text1"/>
          <w:sz w:val="32"/>
          <w:rtl/>
        </w:rPr>
        <w:footnoteReference w:id="6"/>
      </w:r>
      <w:r w:rsidRPr="0024479E">
        <w:rPr>
          <w:rFonts w:hint="cs"/>
          <w:color w:val="000000" w:themeColor="text1"/>
          <w:sz w:val="40"/>
          <w:szCs w:val="36"/>
          <w:rtl/>
        </w:rPr>
        <w:t>.</w:t>
      </w:r>
    </w:p>
    <w:p w:rsidR="004E6CB9" w:rsidRPr="0024479E" w:rsidRDefault="004E6CB9" w:rsidP="004E27F2">
      <w:pPr>
        <w:rPr>
          <w:color w:val="000000" w:themeColor="text1"/>
          <w:sz w:val="40"/>
          <w:szCs w:val="36"/>
          <w:rtl/>
        </w:rPr>
      </w:pPr>
      <w:r w:rsidRPr="00B474D4">
        <w:rPr>
          <w:rFonts w:hint="cs"/>
          <w:color w:val="000000" w:themeColor="text1"/>
          <w:sz w:val="40"/>
          <w:szCs w:val="36"/>
          <w:highlight w:val="green"/>
          <w:rtl/>
        </w:rPr>
        <w:t>و از این باب است: «</w:t>
      </w:r>
      <w:r w:rsidRPr="00B474D4">
        <w:rPr>
          <w:color w:val="000000" w:themeColor="text1"/>
          <w:sz w:val="40"/>
          <w:szCs w:val="36"/>
          <w:highlight w:val="green"/>
          <w:rtl/>
        </w:rPr>
        <w:t>عن أبي عبد الله ع قال: إذا دخل المؤمن في قبره كانت الصلاة عن يمينه و الزكاة عن يساره و البر مطل عليه و يتنحى الصبر ناحية فإذا دخل عليه الملكان اللذان يليان مساءلته قال الصبر للصلاة و الزكاة و البر دونكم صاحبكم فإن عجزتم عنه فأنا دونه.</w:t>
      </w:r>
      <w:r w:rsidRP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7"/>
      </w:r>
      <w:r w:rsidRPr="00B474D4">
        <w:rPr>
          <w:rFonts w:hint="cs"/>
          <w:color w:val="000000" w:themeColor="text1"/>
          <w:sz w:val="40"/>
          <w:szCs w:val="36"/>
          <w:highlight w:val="green"/>
          <w:rtl/>
        </w:rPr>
        <w:t>»</w:t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</w:t>
      </w:r>
      <w:r w:rsidR="00B474D4" w:rsidRPr="00B474D4">
        <w:rPr>
          <w:rFonts w:hint="cs"/>
          <w:color w:val="000000" w:themeColor="text1"/>
          <w:sz w:val="40"/>
          <w:szCs w:val="36"/>
          <w:highlight w:val="green"/>
          <w:rtl/>
        </w:rPr>
        <w:t>و نیز «</w:t>
      </w:r>
      <w:r w:rsidR="00B474D4" w:rsidRPr="00B474D4">
        <w:rPr>
          <w:color w:val="000000" w:themeColor="text1"/>
          <w:sz w:val="40"/>
          <w:szCs w:val="36"/>
          <w:highlight w:val="green"/>
          <w:rtl/>
        </w:rPr>
        <w:t>عن النبي ص قال: أنا عند الميزان يوم القيامة فمن ثقلت سيئاته على حسناته جئت بالصلاة علي حتى أثقل بها حسناته</w:t>
      </w:r>
      <w:r w:rsid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8"/>
      </w:r>
      <w:r w:rsidR="00B474D4" w:rsidRPr="00B474D4">
        <w:rPr>
          <w:color w:val="000000" w:themeColor="text1"/>
          <w:sz w:val="40"/>
          <w:szCs w:val="36"/>
          <w:highlight w:val="green"/>
          <w:rtl/>
        </w:rPr>
        <w:t>‏</w:t>
      </w:r>
      <w:r w:rsidR="00B474D4" w:rsidRPr="00B474D4">
        <w:rPr>
          <w:rFonts w:hint="cs"/>
          <w:color w:val="000000" w:themeColor="text1"/>
          <w:sz w:val="40"/>
          <w:szCs w:val="36"/>
          <w:highlight w:val="green"/>
          <w:rtl/>
        </w:rPr>
        <w:t xml:space="preserve">» </w:t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>و این اختصاص به اعمال ندارد و شامل امکنه و ازمنه و ... می‌شود: «</w:t>
      </w:r>
      <w:r w:rsidR="00165D47" w:rsidRPr="00B474D4">
        <w:rPr>
          <w:color w:val="000000" w:themeColor="text1"/>
          <w:sz w:val="40"/>
          <w:szCs w:val="36"/>
          <w:highlight w:val="green"/>
          <w:rtl/>
        </w:rPr>
        <w:t>اعلم يا ولي الله أن الأبواب التي كان يصعد فيها عملك تبكي عليك و أن محرابك و مصلاك يبكيان عليك‏</w:t>
      </w:r>
      <w:r w:rsidR="00165D47" w:rsidRP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9"/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>» و «</w:t>
      </w:r>
      <w:r w:rsidR="00165D47" w:rsidRPr="00B474D4">
        <w:rPr>
          <w:color w:val="000000" w:themeColor="text1"/>
          <w:sz w:val="40"/>
          <w:szCs w:val="36"/>
          <w:highlight w:val="green"/>
          <w:rtl/>
        </w:rPr>
        <w:t>فما كل ما نطقت به عن جهل مني بسوء أثري، و لا نسيان لما سبق من ذميم فعلي، لكن لتسمع سماؤك و من فيها و أرضك و من عليها ما أظهرت لك من الندم،</w:t>
      </w:r>
      <w:r w:rsidR="00795611" w:rsidRPr="00B474D4">
        <w:rPr>
          <w:color w:val="000000" w:themeColor="text1"/>
          <w:sz w:val="40"/>
          <w:szCs w:val="36"/>
          <w:highlight w:val="green"/>
          <w:rtl/>
        </w:rPr>
        <w:t xml:space="preserve"> و لجأت إليك فيه من التوبة</w:t>
      </w:r>
      <w:r w:rsidR="00165D47" w:rsidRPr="00B474D4">
        <w:rPr>
          <w:color w:val="000000" w:themeColor="text1"/>
          <w:sz w:val="40"/>
          <w:szCs w:val="36"/>
          <w:highlight w:val="green"/>
          <w:rtl/>
        </w:rPr>
        <w:t xml:space="preserve"> فلعل بعضهم برحمتك يرحمني لسوء موقفي، أو تدركه الرقة علي لسوء حالي فينالني منه بدعوة هي أسمع لديك من دعائي، أو شفاعة أوكد عندك من شفاعتي تكون </w:t>
      </w:r>
      <w:r w:rsidR="00795611" w:rsidRPr="00B474D4">
        <w:rPr>
          <w:color w:val="000000" w:themeColor="text1"/>
          <w:sz w:val="40"/>
          <w:szCs w:val="36"/>
          <w:highlight w:val="green"/>
          <w:rtl/>
        </w:rPr>
        <w:t>بها نجاتي من غضبك و فوزتي برضاك</w:t>
      </w:r>
      <w:r w:rsidR="00795611" w:rsidRP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10"/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>»</w:t>
      </w:r>
      <w:r w:rsidR="00C31F54" w:rsidRPr="00B474D4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و </w:t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>«</w:t>
      </w:r>
      <w:r w:rsidR="00C31F54" w:rsidRPr="00B474D4">
        <w:rPr>
          <w:color w:val="000000" w:themeColor="text1"/>
          <w:sz w:val="40"/>
          <w:szCs w:val="36"/>
          <w:highlight w:val="green"/>
          <w:rtl/>
        </w:rPr>
        <w:t>عن أبي عبد الله ع قال: ما من يوم يأتي على ابن آدم إلا قال له ذلك اليوم يا ابن آدم أنا يوم جديد و أنا عليك شهيد فقل في خيرا و اعمل في خيرا أشهد لك به يوم القيامة فإنك لن تراني بعدها أبدا قال و كان علي ع إذا أمسى يقول مرحبا بالليل الجديد و الكاتب الشهيد اكتبا على اسم الله ثم يذكر الله عز و جل</w:t>
      </w:r>
      <w:r w:rsidR="00C31F54" w:rsidRP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11"/>
      </w:r>
      <w:r w:rsidR="00C31F54" w:rsidRPr="00B474D4">
        <w:rPr>
          <w:color w:val="000000" w:themeColor="text1"/>
          <w:sz w:val="40"/>
          <w:szCs w:val="36"/>
          <w:highlight w:val="green"/>
          <w:rtl/>
        </w:rPr>
        <w:t>‏</w:t>
      </w:r>
      <w:r w:rsidR="00165D47" w:rsidRPr="00B474D4">
        <w:rPr>
          <w:rFonts w:hint="cs"/>
          <w:color w:val="000000" w:themeColor="text1"/>
          <w:sz w:val="40"/>
          <w:szCs w:val="36"/>
          <w:highlight w:val="green"/>
          <w:rtl/>
        </w:rPr>
        <w:t>»</w:t>
      </w:r>
      <w:r w:rsidR="00B56CCF" w:rsidRPr="00B474D4">
        <w:rPr>
          <w:rFonts w:hint="cs"/>
          <w:color w:val="000000" w:themeColor="text1"/>
          <w:sz w:val="40"/>
          <w:szCs w:val="36"/>
          <w:highlight w:val="green"/>
          <w:rtl/>
        </w:rPr>
        <w:t>. این بیان مبتنی بر این است که شهادت را نوعی از انواع شفاعت بدانیم. لایقال که برخی از شهدا مانند آنچه در این خبر آمده است و در کتاب شریف نیز مورد تصریح است</w:t>
      </w:r>
      <w:r w:rsidR="00B56CCF" w:rsidRPr="00B474D4">
        <w:rPr>
          <w:rStyle w:val="FootnoteReference"/>
          <w:color w:val="000000" w:themeColor="text1"/>
          <w:sz w:val="40"/>
          <w:szCs w:val="36"/>
          <w:highlight w:val="green"/>
          <w:rtl/>
        </w:rPr>
        <w:footnoteReference w:id="12"/>
      </w:r>
      <w:r w:rsidR="00B56CCF" w:rsidRPr="00B474D4">
        <w:rPr>
          <w:rFonts w:hint="cs"/>
          <w:color w:val="000000" w:themeColor="text1"/>
          <w:sz w:val="40"/>
          <w:szCs w:val="36"/>
          <w:highlight w:val="green"/>
          <w:rtl/>
        </w:rPr>
        <w:t xml:space="preserve"> علیه مشهودله شهادت می‌دهند چون با آنچه در نگاه کلان علل و معالیل </w:t>
      </w:r>
      <w:r w:rsidR="00B56CCF" w:rsidRPr="00B474D4">
        <w:rPr>
          <w:rFonts w:hint="cs"/>
          <w:color w:val="000000" w:themeColor="text1"/>
          <w:sz w:val="40"/>
          <w:szCs w:val="36"/>
          <w:highlight w:val="green"/>
          <w:rtl/>
        </w:rPr>
        <w:lastRenderedPageBreak/>
        <w:t>روشن است از علت جز کمال متوجه معلول نمی‌شود و حتی عذاب آتش برای کسی که در آن می‌سوزد، کمال و مصداق شفاعت است و نقص موهوم، ناشی از قصور ماهوی معلول است همیشه حتی در تلقی عقل اول فیض حق اول را.</w:t>
      </w:r>
    </w:p>
    <w:p w:rsidR="00A22E6A" w:rsidRDefault="00A22E6A" w:rsidP="00113765">
      <w:pPr>
        <w:rPr>
          <w:color w:val="000000" w:themeColor="text1"/>
          <w:sz w:val="40"/>
          <w:szCs w:val="36"/>
          <w:rtl/>
        </w:rPr>
      </w:pPr>
    </w:p>
    <w:p w:rsidR="00113765" w:rsidRDefault="00113765" w:rsidP="00113765">
      <w:pPr>
        <w:rPr>
          <w:rtl/>
        </w:rPr>
      </w:pPr>
    </w:p>
    <w:p w:rsidR="00E57EDD" w:rsidRPr="004673E5" w:rsidRDefault="004673E5" w:rsidP="0024479E">
      <w:pPr>
        <w:rPr>
          <w:color w:val="FFFFFF" w:themeColor="background1"/>
          <w:sz w:val="40"/>
          <w:szCs w:val="36"/>
        </w:rPr>
      </w:pPr>
      <w:bookmarkStart w:id="0" w:name="_GoBack"/>
      <w:r w:rsidRPr="004673E5">
        <w:rPr>
          <w:rFonts w:hint="cs"/>
          <w:color w:val="FFFFFF" w:themeColor="background1"/>
          <w:sz w:val="40"/>
          <w:szCs w:val="36"/>
          <w:highlight w:val="black"/>
          <w:rtl/>
        </w:rPr>
        <w:t>قرآن، شفاعت، شهادت بر اعمال، معانی ابواب، تعدیه، باب تفعیل، روز قیامت</w:t>
      </w:r>
      <w:bookmarkEnd w:id="0"/>
    </w:p>
    <w:sectPr w:rsidR="00E57EDD" w:rsidRPr="0046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13" w:rsidRDefault="00DA5713" w:rsidP="00A22E6A">
      <w:r>
        <w:separator/>
      </w:r>
    </w:p>
  </w:endnote>
  <w:endnote w:type="continuationSeparator" w:id="0">
    <w:p w:rsidR="00DA5713" w:rsidRDefault="00DA5713" w:rsidP="00A2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13" w:rsidRDefault="00DA5713" w:rsidP="00A22E6A">
      <w:r>
        <w:separator/>
      </w:r>
    </w:p>
  </w:footnote>
  <w:footnote w:type="continuationSeparator" w:id="0">
    <w:p w:rsidR="00DA5713" w:rsidRDefault="00DA5713" w:rsidP="00A22E6A">
      <w:r>
        <w:continuationSeparator/>
      </w:r>
    </w:p>
  </w:footnote>
  <w:footnote w:id="1">
    <w:p w:rsidR="00CA1F2A" w:rsidRPr="0024479E" w:rsidRDefault="00CA1F2A" w:rsidP="0024479E">
      <w:pPr>
        <w:pStyle w:val="Heading2"/>
        <w:spacing w:before="0"/>
        <w:rPr>
          <w:rStyle w:val="FootnoteReference"/>
          <w:rFonts w:ascii="IRLotus" w:eastAsiaTheme="minorHAnsi" w:hAnsi="IRLotus" w:cs="IRLotus"/>
          <w:sz w:val="26"/>
          <w:vertAlign w:val="baseline"/>
          <w:rtl/>
          <w:lang w:bidi="ar-SA"/>
        </w:rPr>
      </w:pPr>
      <w:r w:rsidRPr="0024479E">
        <w:rPr>
          <w:rStyle w:val="FootnoteReference"/>
          <w:rFonts w:ascii="IRLotus" w:eastAsiaTheme="minorHAnsi" w:hAnsi="IRLotus" w:cs="IRLotus"/>
          <w:sz w:val="26"/>
          <w:vertAlign w:val="baseline"/>
          <w:lang w:bidi="ar-SA"/>
        </w:rPr>
        <w:footnoteRef/>
      </w:r>
      <w:r w:rsidRPr="0024479E">
        <w:rPr>
          <w:rStyle w:val="FootnoteReference"/>
          <w:rFonts w:ascii="IRLotus" w:eastAsiaTheme="minorHAnsi" w:hAnsi="IRLotus" w:cs="IRLotus"/>
          <w:vertAlign w:val="baseline"/>
          <w:rtl/>
          <w:lang w:bidi="ar-SA"/>
        </w:rPr>
        <w:t xml:space="preserve"> " نهج البلاغه" خطبه 176.</w:t>
      </w:r>
    </w:p>
  </w:footnote>
  <w:footnote w:id="2">
    <w:p w:rsidR="00CA1F2A" w:rsidRPr="00FD2276" w:rsidRDefault="00CA1F2A" w:rsidP="00663EDE">
      <w:pPr>
        <w:pStyle w:val="FootnoteText"/>
        <w:rPr>
          <w:rStyle w:val="FootnoteReference"/>
          <w:rFonts w:ascii="IRLotus" w:hAnsi="IRLotus" w:cs="IRLotus"/>
          <w:sz w:val="28"/>
          <w:szCs w:val="26"/>
          <w:vertAlign w:val="baseline"/>
        </w:rPr>
      </w:pPr>
      <w:r w:rsidRPr="00FD2276">
        <w:rPr>
          <w:rStyle w:val="FootnoteReference"/>
          <w:rFonts w:ascii="IRLotus" w:hAnsi="IRLotus" w:cs="IRLotus"/>
          <w:sz w:val="28"/>
          <w:szCs w:val="26"/>
          <w:vertAlign w:val="baseline"/>
        </w:rPr>
        <w:footnoteRef/>
      </w:r>
      <w:r w:rsidRPr="00FD2276">
        <w:rPr>
          <w:rStyle w:val="FootnoteReference"/>
          <w:rFonts w:ascii="IRLotus" w:hAnsi="IRLotus" w:cs="IRLotus"/>
          <w:sz w:val="28"/>
          <w:szCs w:val="26"/>
          <w:vertAlign w:val="baseline"/>
          <w:rtl/>
        </w:rPr>
        <w:t xml:space="preserve"> 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. مراد فنای نظام اسباب و مسبباتی است که سببیت در آنها اعتباری است. در سببیت حقیقی، تخلف مسبب از سبب ناشی از تزاحم می‌تواند باشد و در مجردات</w:t>
      </w:r>
      <w:r w:rsidR="00307AD9">
        <w:rPr>
          <w:rFonts w:ascii="IRLotus" w:hAnsi="IRLotus" w:cs="IRLotus" w:hint="cs"/>
          <w:sz w:val="28"/>
          <w:szCs w:val="26"/>
          <w:rtl/>
        </w:rPr>
        <w:t xml:space="preserve"> (البته مجرداتی که ظهور مُلک حق در آنها قوی است. عوالم دو</w:t>
      </w:r>
      <w:r w:rsidR="00663EDE">
        <w:rPr>
          <w:rFonts w:ascii="IRLotus" w:hAnsi="IRLotus" w:cs="IRLotus" w:hint="cs"/>
          <w:sz w:val="28"/>
          <w:szCs w:val="26"/>
          <w:rtl/>
        </w:rPr>
        <w:t xml:space="preserve">ن </w:t>
      </w:r>
      <w:r w:rsidR="00307AD9">
        <w:rPr>
          <w:rFonts w:ascii="IRLotus" w:hAnsi="IRLotus" w:cs="IRLotus" w:hint="cs"/>
          <w:sz w:val="28"/>
          <w:szCs w:val="26"/>
          <w:rtl/>
        </w:rPr>
        <w:t>مثل عوا</w:t>
      </w:r>
      <w:r w:rsidR="00663EDE">
        <w:rPr>
          <w:rFonts w:ascii="IRLotus" w:hAnsi="IRLotus" w:cs="IRLotus" w:hint="cs"/>
          <w:sz w:val="28"/>
          <w:szCs w:val="26"/>
          <w:rtl/>
        </w:rPr>
        <w:t>لم</w:t>
      </w:r>
      <w:r w:rsidR="00307AD9">
        <w:rPr>
          <w:rFonts w:ascii="IRLotus" w:hAnsi="IRLotus" w:cs="IRLotus" w:hint="cs"/>
          <w:sz w:val="28"/>
          <w:szCs w:val="26"/>
          <w:rtl/>
        </w:rPr>
        <w:t xml:space="preserve"> نازله برزخ احکامی نزدیک به احکام عالم ماده دارند)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 xml:space="preserve"> این عامل دوم نیز نیست. پس همه شفعای عالم معنا مشفع اند.</w:t>
      </w:r>
    </w:p>
  </w:footnote>
  <w:footnote w:id="3">
    <w:p w:rsidR="00CA1F2A" w:rsidRPr="00592181" w:rsidRDefault="00CA1F2A" w:rsidP="00592181">
      <w:pPr>
        <w:pStyle w:val="FootnoteText"/>
        <w:rPr>
          <w:rStyle w:val="FootnoteReference"/>
          <w:rFonts w:ascii="IRLotus" w:hAnsi="IRLotus" w:cs="IRLotus"/>
          <w:sz w:val="28"/>
          <w:szCs w:val="26"/>
          <w:vertAlign w:val="baseline"/>
        </w:rPr>
      </w:pPr>
      <w:r w:rsidRPr="00FD2276">
        <w:rPr>
          <w:rStyle w:val="FootnoteReference"/>
          <w:rFonts w:ascii="IRLotus" w:hAnsi="IRLotus" w:cs="IRLotus"/>
          <w:sz w:val="28"/>
          <w:szCs w:val="26"/>
          <w:vertAlign w:val="baseline"/>
        </w:rPr>
        <w:footnoteRef/>
      </w:r>
      <w:r w:rsidRPr="00FD2276">
        <w:rPr>
          <w:rStyle w:val="FootnoteReference"/>
          <w:rFonts w:ascii="IRLotus" w:hAnsi="IRLotus" w:cs="IRLotus"/>
          <w:sz w:val="28"/>
          <w:szCs w:val="26"/>
          <w:vertAlign w:val="baseline"/>
          <w:rtl/>
        </w:rPr>
        <w:t xml:space="preserve"> 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. مانند کریمه «</w:t>
      </w:r>
      <w:r w:rsidRPr="00FD2276">
        <w:rPr>
          <w:rStyle w:val="FootnoteReference"/>
          <w:rFonts w:ascii="IRLotus" w:hAnsi="IRLotus" w:cs="IRLotus"/>
          <w:sz w:val="28"/>
          <w:szCs w:val="26"/>
          <w:vertAlign w:val="baseline"/>
          <w:rtl/>
        </w:rPr>
        <w:t>وَ لا يَشْفَعُونَ إِلاَّ لِمَنِ ارْتَضى‏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 xml:space="preserve">» (انبیا/28) که نشان می‌دهد شفاعت از غیر مرتضی صادر نمی‌شود </w:t>
      </w:r>
      <w:r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و رد شفاعت با ارتضا به صدور آن م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 xml:space="preserve">ستلزم نقص در صفات </w:t>
      </w:r>
      <w:r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ک</w:t>
      </w:r>
      <w:r>
        <w:rPr>
          <w:rFonts w:ascii="IRLotus" w:hAnsi="IRLotus" w:cs="IRLotus" w:hint="cs"/>
          <w:sz w:val="28"/>
          <w:szCs w:val="26"/>
          <w:rtl/>
        </w:rPr>
        <w:t>امله</w:t>
      </w:r>
      <w:r w:rsidR="00592181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 xml:space="preserve"> حق تعالی است س</w:t>
      </w:r>
      <w:r w:rsidRPr="00FD2276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بحانه و تعالی.</w:t>
      </w:r>
      <w:r w:rsidR="00592181" w:rsidRPr="00592181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 xml:space="preserve"> و نیز مانند کریمه «الملک یومئذ الحق للرحمن» (فرقان/26) چراکه رد شفاعت به دلیل اعت</w:t>
      </w:r>
      <w:r w:rsidR="00592181">
        <w:rPr>
          <w:rFonts w:ascii="IRLotus" w:hAnsi="IRLotus" w:cs="IRLotus" w:hint="cs"/>
          <w:sz w:val="28"/>
          <w:szCs w:val="26"/>
          <w:rtl/>
        </w:rPr>
        <w:t>ب</w:t>
      </w:r>
      <w:r w:rsidR="00592181" w:rsidRPr="00592181">
        <w:rPr>
          <w:rStyle w:val="FootnoteReference"/>
          <w:rFonts w:ascii="IRLotus" w:hAnsi="IRLotus" w:cs="IRLotus" w:hint="cs"/>
          <w:sz w:val="28"/>
          <w:szCs w:val="26"/>
          <w:vertAlign w:val="baseline"/>
          <w:rtl/>
        </w:rPr>
        <w:t>ار یا غلبه شفیع اقوی مستلزم وجود باطل در عالم آخرت است.</w:t>
      </w:r>
    </w:p>
  </w:footnote>
  <w:footnote w:id="4">
    <w:p w:rsidR="00CA1F2A" w:rsidRPr="00592181" w:rsidRDefault="00CA1F2A" w:rsidP="00A22E6A">
      <w:pPr>
        <w:pStyle w:val="FootnoteText"/>
        <w:rPr>
          <w:rStyle w:val="FootnoteReference"/>
          <w:rFonts w:ascii="IRLotus" w:hAnsi="IRLotus" w:cs="IRLotus"/>
          <w:sz w:val="28"/>
          <w:szCs w:val="26"/>
          <w:vertAlign w:val="baseline"/>
          <w:rtl/>
        </w:rPr>
      </w:pPr>
      <w:r w:rsidRPr="00592181">
        <w:rPr>
          <w:rStyle w:val="FootnoteReference"/>
          <w:rFonts w:ascii="IRLotus" w:hAnsi="IRLotus" w:cs="IRLotus"/>
          <w:sz w:val="28"/>
          <w:szCs w:val="26"/>
          <w:vertAlign w:val="baseline"/>
        </w:rPr>
        <w:footnoteRef/>
      </w:r>
      <w:r w:rsidRPr="00592181">
        <w:rPr>
          <w:rStyle w:val="FootnoteReference"/>
          <w:rFonts w:ascii="IRLotus" w:hAnsi="IRLotus" w:cs="IRLotus"/>
          <w:sz w:val="28"/>
          <w:szCs w:val="26"/>
          <w:vertAlign w:val="baseline"/>
          <w:rtl/>
        </w:rPr>
        <w:t xml:space="preserve"> " مسند احمد" جلد 2 صفحه 89.</w:t>
      </w:r>
    </w:p>
  </w:footnote>
  <w:footnote w:id="5">
    <w:p w:rsidR="00B25136" w:rsidRPr="00B25136" w:rsidRDefault="00B25136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</w:rPr>
      </w:pPr>
      <w:r w:rsidRPr="00B25136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B25136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B25136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</w:t>
      </w:r>
      <w:r w:rsidRPr="00B25136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مستدرك الوسائل و مستنبط المسائل، ج‏2، ص: 3</w:t>
      </w:r>
      <w:r w:rsidRPr="00B25136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>89</w:t>
      </w:r>
      <w:r w:rsidR="00F27590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 و مثله غیره في الباب و في بعضها التصريح بلفظة «الشفاعة».</w:t>
      </w:r>
    </w:p>
  </w:footnote>
  <w:footnote w:id="6">
    <w:p w:rsidR="00CA1F2A" w:rsidRPr="0024479E" w:rsidRDefault="00CA1F2A" w:rsidP="00A22E6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24479E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" مسند احمد" جلد 2 صفحه 174.</w:t>
      </w:r>
    </w:p>
  </w:footnote>
  <w:footnote w:id="7">
    <w:p w:rsidR="00CA1F2A" w:rsidRPr="004E6CB9" w:rsidRDefault="00CA1F2A" w:rsidP="004E6CB9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</w:rPr>
      </w:pPr>
      <w:r w:rsidRPr="004E6CB9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4E6CB9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4E6CB9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</w:t>
      </w:r>
      <w:r w:rsidRPr="004E6CB9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الكافي (ط - الإسلامية)، ج‏2، ص: 90</w:t>
      </w:r>
    </w:p>
  </w:footnote>
  <w:footnote w:id="8">
    <w:p w:rsidR="00B474D4" w:rsidRPr="00B474D4" w:rsidRDefault="00B474D4" w:rsidP="00B474D4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</w:rPr>
      </w:pPr>
      <w:r w:rsidRPr="00B474D4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B474D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B474D4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</w:t>
      </w:r>
      <w:r w:rsidRPr="00B474D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بحار الأنوار (ط - بيروت)، ج‏7، ص: 304</w:t>
      </w:r>
    </w:p>
  </w:footnote>
  <w:footnote w:id="9">
    <w:p w:rsidR="00CA1F2A" w:rsidRPr="00C31F54" w:rsidRDefault="00CA1F2A" w:rsidP="00165D47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C31F54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</w:t>
      </w: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الوافي، ج‏26، ص: 148</w:t>
      </w:r>
    </w:p>
  </w:footnote>
  <w:footnote w:id="10">
    <w:p w:rsidR="00CA1F2A" w:rsidRPr="00C31F54" w:rsidRDefault="00CA1F2A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</w:rPr>
      </w:pP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C31F54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>. صحیفه سجادیه/ دعای 31</w:t>
      </w:r>
    </w:p>
  </w:footnote>
  <w:footnote w:id="11">
    <w:p w:rsidR="00CA1F2A" w:rsidRPr="00C31F54" w:rsidRDefault="00CA1F2A" w:rsidP="00C31F54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</w:rPr>
      </w:pP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C31F54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</w:t>
      </w:r>
      <w:r w:rsidRPr="00C31F54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>الكافي (ط - الإسلامية)، ج‏2، ص: 523</w:t>
      </w:r>
    </w:p>
  </w:footnote>
  <w:footnote w:id="12">
    <w:p w:rsidR="00CA1F2A" w:rsidRPr="00B56CCF" w:rsidRDefault="00CA1F2A" w:rsidP="00B56CCF">
      <w:pPr>
        <w:pStyle w:val="FootnoteText"/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</w:pPr>
      <w:r w:rsidRPr="00B56CCF">
        <w:rPr>
          <w:rStyle w:val="FootnoteReference"/>
          <w:rFonts w:ascii="IRLotus" w:hAnsi="IRLotus" w:cs="IRLotus"/>
          <w:sz w:val="26"/>
          <w:szCs w:val="26"/>
          <w:vertAlign w:val="baseline"/>
        </w:rPr>
        <w:footnoteRef/>
      </w:r>
      <w:r w:rsidRPr="00B56CCF">
        <w:rPr>
          <w:rStyle w:val="FootnoteReference"/>
          <w:rFonts w:ascii="IRLotus" w:hAnsi="IRLotus" w:cs="IRLotus"/>
          <w:sz w:val="26"/>
          <w:szCs w:val="26"/>
          <w:vertAlign w:val="baseline"/>
          <w:rtl/>
        </w:rPr>
        <w:t xml:space="preserve"> </w:t>
      </w:r>
      <w:r w:rsidRPr="00B56CCF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. مانند </w:t>
      </w:r>
      <w:r>
        <w:rPr>
          <w:rFonts w:ascii="IRLotus" w:hAnsi="IRLotus" w:cs="IRLotus" w:hint="cs"/>
          <w:sz w:val="26"/>
          <w:szCs w:val="26"/>
          <w:rtl/>
        </w:rPr>
        <w:t>«</w:t>
      </w:r>
      <w:r w:rsidRPr="00B56CCF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>حَتَّى إِذا ما جاؤُها شَهِدَ عَلَيْهِمْ سَمْعُهُمْ وَ أَبْصارُهُمْ وَ جُلُودُه</w:t>
      </w:r>
      <w:r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ُمْ بِما كانُوا يَعْمَلُونَ </w:t>
      </w:r>
      <w:r w:rsidRPr="00B56CCF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>وَ قالُوا لِجُلُودِهِمْ لِمَ شَهِدْتُمْ عَلَيْنا قالُوا أَنْطَقَنَا اللَّهُ الَّذي أَنْطَقَ كُلَّ شَيْ‏ءٍ وَ هُوَ خَلَقَكُمْ أَوَّلَ مَرّ</w:t>
      </w:r>
      <w:r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 xml:space="preserve">َةٍ وَ إِلَيْهِ تُرْجَعُونَ </w:t>
      </w:r>
      <w:r w:rsidRPr="00B56CCF">
        <w:rPr>
          <w:rStyle w:val="FootnoteReference"/>
          <w:rFonts w:ascii="IRLotus" w:hAnsi="IRLotus" w:cs="IRLotus" w:hint="cs"/>
          <w:sz w:val="26"/>
          <w:szCs w:val="26"/>
          <w:vertAlign w:val="baseline"/>
          <w:rtl/>
        </w:rPr>
        <w:t>وَ ما كُنْتُمْ تَسْتَتِرُونَ أَنْ يَشْهَدَ عَلَيْكُمْ سَمْعُكُمْ وَ لا أَبْصارُكُمْ وَ لا جُلُودُكُمْ وَ لكِنْ ظَنَنْتُمْ أَنَّ اللَّهَ لا يَعْلَمُ كَثيراً مِمَّا تَعْمَلُون‏</w:t>
      </w:r>
      <w:r>
        <w:rPr>
          <w:rFonts w:ascii="IRLotus" w:hAnsi="IRLotus" w:cs="IRLotus" w:hint="cs"/>
          <w:sz w:val="26"/>
          <w:szCs w:val="26"/>
          <w:rtl/>
        </w:rPr>
        <w:t>» (فصلت/20-22)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ED7"/>
    <w:multiLevelType w:val="hybridMultilevel"/>
    <w:tmpl w:val="0786F0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162AD"/>
    <w:multiLevelType w:val="hybridMultilevel"/>
    <w:tmpl w:val="C8C0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56B7"/>
    <w:multiLevelType w:val="hybridMultilevel"/>
    <w:tmpl w:val="008C5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6A"/>
    <w:rsid w:val="000D319F"/>
    <w:rsid w:val="000F2DD8"/>
    <w:rsid w:val="00113765"/>
    <w:rsid w:val="00121847"/>
    <w:rsid w:val="001261BD"/>
    <w:rsid w:val="00165D47"/>
    <w:rsid w:val="00190E95"/>
    <w:rsid w:val="00195559"/>
    <w:rsid w:val="0024479E"/>
    <w:rsid w:val="002F32C4"/>
    <w:rsid w:val="002F565E"/>
    <w:rsid w:val="00307AD9"/>
    <w:rsid w:val="00317573"/>
    <w:rsid w:val="00340ADE"/>
    <w:rsid w:val="003A3888"/>
    <w:rsid w:val="004673E5"/>
    <w:rsid w:val="004E27F2"/>
    <w:rsid w:val="004E6CB9"/>
    <w:rsid w:val="00502047"/>
    <w:rsid w:val="005066C0"/>
    <w:rsid w:val="00592181"/>
    <w:rsid w:val="005A1124"/>
    <w:rsid w:val="00660A39"/>
    <w:rsid w:val="00663EDE"/>
    <w:rsid w:val="006D5ADA"/>
    <w:rsid w:val="007105E9"/>
    <w:rsid w:val="00712091"/>
    <w:rsid w:val="00795611"/>
    <w:rsid w:val="007E60E6"/>
    <w:rsid w:val="008F3571"/>
    <w:rsid w:val="00913D82"/>
    <w:rsid w:val="00947034"/>
    <w:rsid w:val="009F7ACB"/>
    <w:rsid w:val="00A209BE"/>
    <w:rsid w:val="00A22E6A"/>
    <w:rsid w:val="00B15066"/>
    <w:rsid w:val="00B25136"/>
    <w:rsid w:val="00B474D4"/>
    <w:rsid w:val="00B523BB"/>
    <w:rsid w:val="00B56CCF"/>
    <w:rsid w:val="00B6036D"/>
    <w:rsid w:val="00BD4A5C"/>
    <w:rsid w:val="00C23183"/>
    <w:rsid w:val="00C31F54"/>
    <w:rsid w:val="00C5750A"/>
    <w:rsid w:val="00CA1F2A"/>
    <w:rsid w:val="00CE2806"/>
    <w:rsid w:val="00D03DFB"/>
    <w:rsid w:val="00D21A05"/>
    <w:rsid w:val="00D7198C"/>
    <w:rsid w:val="00DA5713"/>
    <w:rsid w:val="00DF730C"/>
    <w:rsid w:val="00E41CCC"/>
    <w:rsid w:val="00E55213"/>
    <w:rsid w:val="00E57EDD"/>
    <w:rsid w:val="00EB5C2D"/>
    <w:rsid w:val="00EC6E1C"/>
    <w:rsid w:val="00F166B2"/>
    <w:rsid w:val="00F27590"/>
    <w:rsid w:val="00FD2276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033CC7"/>
  <w15:chartTrackingRefBased/>
  <w15:docId w15:val="{031AAF93-1347-4601-B652-586D1DA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RBadr" w:eastAsiaTheme="minorHAnsi" w:hAnsi="IRBadr" w:cs="IRBadr"/>
        <w:sz w:val="36"/>
        <w:szCs w:val="3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aliases w:val="حدیث"/>
    <w:basedOn w:val="Normal"/>
    <w:next w:val="Normal"/>
    <w:link w:val="Heading1Char"/>
    <w:autoRedefine/>
    <w:uiPriority w:val="9"/>
    <w:qFormat/>
    <w:rsid w:val="0024479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6"/>
    </w:rPr>
  </w:style>
  <w:style w:type="paragraph" w:styleId="Heading2">
    <w:name w:val="heading 2"/>
    <w:aliases w:val="پاورقی"/>
    <w:basedOn w:val="Normal"/>
    <w:next w:val="Normal"/>
    <w:link w:val="Heading2Char"/>
    <w:uiPriority w:val="9"/>
    <w:unhideWhenUsed/>
    <w:qFormat/>
    <w:rsid w:val="00A209BE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پاورقی Char"/>
    <w:basedOn w:val="DefaultParagraphFont"/>
    <w:link w:val="Heading2"/>
    <w:uiPriority w:val="9"/>
    <w:rsid w:val="00A209BE"/>
    <w:rPr>
      <w:rFonts w:eastAsiaTheme="majorEastAsia" w:cstheme="majorBidi"/>
      <w:sz w:val="28"/>
      <w:szCs w:val="26"/>
    </w:rPr>
  </w:style>
  <w:style w:type="character" w:customStyle="1" w:styleId="Heading1Char">
    <w:name w:val="Heading 1 Char"/>
    <w:aliases w:val="حدیث Char"/>
    <w:basedOn w:val="DefaultParagraphFont"/>
    <w:link w:val="Heading1"/>
    <w:uiPriority w:val="9"/>
    <w:rsid w:val="0024479E"/>
    <w:rPr>
      <w:rFonts w:asciiTheme="majorHAnsi" w:eastAsiaTheme="majorEastAsia" w:hAnsiTheme="majorHAnsi" w:cs="Times New Roman"/>
      <w:color w:val="000000" w:themeColor="text1"/>
      <w:sz w:val="32"/>
      <w:szCs w:val="3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6A"/>
    <w:rPr>
      <w:rFonts w:ascii="Traditional Arabic" w:hAnsi="Traditional Arabic" w:cs="Traditional Arabic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6A"/>
    <w:rPr>
      <w:rFonts w:ascii="Traditional Arabic" w:hAnsi="Traditional Arabic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6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2E6A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22E6A"/>
    <w:pPr>
      <w:contextualSpacing/>
    </w:pPr>
    <w:rPr>
      <w:rFonts w:asciiTheme="majorHAnsi" w:eastAsiaTheme="majorEastAsia" w:hAnsiTheme="majorHAnsi" w:cs="IRTitr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6A"/>
    <w:rPr>
      <w:rFonts w:asciiTheme="majorHAnsi" w:eastAsiaTheme="majorEastAsia" w:hAnsiTheme="majorHAnsi" w:cs="IRTitr"/>
      <w:spacing w:val="-10"/>
      <w:kern w:val="28"/>
      <w:sz w:val="56"/>
      <w:szCs w:val="56"/>
      <w:lang w:bidi="fa-IR"/>
    </w:rPr>
  </w:style>
  <w:style w:type="paragraph" w:styleId="ListParagraph">
    <w:name w:val="List Paragraph"/>
    <w:basedOn w:val="Normal"/>
    <w:uiPriority w:val="34"/>
    <w:qFormat/>
    <w:rsid w:val="0024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Abdulahad Gharari</dc:creator>
  <cp:keywords/>
  <dc:description/>
  <cp:lastModifiedBy>ya Ali</cp:lastModifiedBy>
  <cp:revision>39</cp:revision>
  <dcterms:created xsi:type="dcterms:W3CDTF">2024-11-05T13:51:00Z</dcterms:created>
  <dcterms:modified xsi:type="dcterms:W3CDTF">2025-01-08T14:29:00Z</dcterms:modified>
</cp:coreProperties>
</file>