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A" w:rsidRPr="0024479E" w:rsidRDefault="00A22E6A" w:rsidP="0024479E">
      <w:pPr>
        <w:pStyle w:val="Title"/>
        <w:numPr>
          <w:ilvl w:val="0"/>
          <w:numId w:val="2"/>
        </w:numPr>
        <w:jc w:val="center"/>
      </w:pPr>
      <w:bookmarkStart w:id="0" w:name="_GoBack"/>
      <w:bookmarkEnd w:id="0"/>
      <w:r w:rsidRPr="0024479E">
        <w:rPr>
          <w:rtl/>
        </w:rPr>
        <w:t>شفيعان روز جزا</w:t>
      </w:r>
      <w:r w:rsidR="0024479E" w:rsidRPr="0024479E">
        <w:rPr>
          <w:rFonts w:hint="cs"/>
          <w:rtl/>
        </w:rPr>
        <w:t xml:space="preserve"> </w:t>
      </w:r>
      <w:r w:rsidR="0024479E" w:rsidRPr="0024479E">
        <w:rPr>
          <w:rFonts w:ascii="IRNazanin" w:hAnsi="IRNazanin" w:cs="IRNazanin"/>
          <w:sz w:val="36"/>
          <w:szCs w:val="36"/>
          <w:rtl/>
        </w:rPr>
        <w:t>(</w:t>
      </w:r>
      <w:r w:rsidR="0024479E" w:rsidRPr="0024479E">
        <w:rPr>
          <w:rFonts w:ascii="IRNazanin" w:hAnsi="IRNazanin" w:cs="IRNazanin"/>
          <w:sz w:val="36"/>
          <w:szCs w:val="36"/>
          <w:rtl/>
        </w:rPr>
        <w:t xml:space="preserve">تفسير نمونه </w:t>
      </w:r>
      <w:r w:rsidR="0024479E" w:rsidRPr="0024479E">
        <w:rPr>
          <w:rFonts w:ascii="Cambria" w:hAnsi="Cambria" w:cs="Cambria" w:hint="cs"/>
          <w:sz w:val="36"/>
          <w:szCs w:val="36"/>
          <w:rtl/>
        </w:rPr>
        <w:t>  </w:t>
      </w:r>
      <w:r w:rsidR="0024479E" w:rsidRPr="0024479E">
        <w:rPr>
          <w:rFonts w:ascii="IRNazanin" w:hAnsi="IRNazanin" w:cs="IRNazanin"/>
          <w:sz w:val="36"/>
          <w:szCs w:val="36"/>
          <w:rtl/>
        </w:rPr>
        <w:t xml:space="preserve"> ج‏25 </w:t>
      </w:r>
      <w:r w:rsidR="0024479E" w:rsidRPr="0024479E">
        <w:rPr>
          <w:rFonts w:ascii="Cambria" w:hAnsi="Cambria" w:cs="Cambria" w:hint="cs"/>
          <w:sz w:val="36"/>
          <w:szCs w:val="36"/>
          <w:rtl/>
        </w:rPr>
        <w:t>  </w:t>
      </w:r>
      <w:r w:rsidR="0024479E" w:rsidRPr="0024479E">
        <w:rPr>
          <w:rFonts w:ascii="IRNazanin" w:hAnsi="IRNazanin" w:cs="IRNazanin"/>
          <w:sz w:val="36"/>
          <w:szCs w:val="36"/>
          <w:rtl/>
        </w:rPr>
        <w:t xml:space="preserve"> 257</w:t>
      </w:r>
      <w:r w:rsidR="0024479E" w:rsidRPr="0024479E">
        <w:rPr>
          <w:rFonts w:ascii="IRNazanin" w:hAnsi="IRNazanin" w:cs="IRNazanin"/>
          <w:sz w:val="36"/>
          <w:szCs w:val="36"/>
          <w:rtl/>
        </w:rPr>
        <w:t>)</w:t>
      </w:r>
    </w:p>
    <w:p w:rsidR="00A22E6A" w:rsidRPr="0024479E" w:rsidRDefault="000F2DD8" w:rsidP="0024479E">
      <w:pPr>
        <w:rPr>
          <w:rFonts w:hint="cs"/>
          <w:color w:val="000000" w:themeColor="text1"/>
          <w:sz w:val="40"/>
          <w:szCs w:val="36"/>
          <w:rtl/>
        </w:rPr>
      </w:pPr>
      <w:r>
        <w:rPr>
          <w:rFonts w:hint="cs"/>
          <w:color w:val="000000" w:themeColor="text1"/>
          <w:sz w:val="40"/>
          <w:szCs w:val="36"/>
          <w:rtl/>
        </w:rPr>
        <w:t xml:space="preserve">1- </w:t>
      </w:r>
      <w:r w:rsidR="00A22E6A" w:rsidRPr="0024479E">
        <w:rPr>
          <w:rFonts w:hint="cs"/>
          <w:color w:val="000000" w:themeColor="text1"/>
          <w:sz w:val="40"/>
          <w:szCs w:val="36"/>
          <w:rtl/>
        </w:rPr>
        <w:t>نخستين شفيع شخص پيامبر اسلام ص است، چنان كه در حديثى مى‏خوانيم رسول اللَّه فرمود،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انا اول شافع فى الجنة</w:t>
      </w:r>
      <w:r w:rsidRPr="0024479E">
        <w:rPr>
          <w:rStyle w:val="FootnoteReference"/>
          <w:color w:val="000000" w:themeColor="text1"/>
          <w:sz w:val="32"/>
          <w:rtl/>
        </w:rPr>
        <w:footnoteReference w:id="1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2- تمام انبياء از شفعاء روز قيامتند، چنان كه در حديث ديگرى از پيغمبر اكرم ص آمده است كه فرمود: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يشفع الانبياء فى كل من يشهد أن لا اله الا اللَّه مخلصا فيخرجونهم منها</w:t>
      </w:r>
      <w:r w:rsidRPr="0024479E">
        <w:rPr>
          <w:rStyle w:val="FootnoteReference"/>
          <w:color w:val="000000" w:themeColor="text1"/>
          <w:sz w:val="32"/>
          <w:rtl/>
        </w:rPr>
        <w:footnoteReference w:id="2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ascii="Times New Roman" w:hAnsi="Times New Roman" w:hint="cs"/>
          <w:color w:val="000000" w:themeColor="text1"/>
          <w:sz w:val="28"/>
          <w:szCs w:val="28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3- فرشتگان از شفيعان روز محشرند، همانگونه كه از رسول خدا ص نقل شده: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يؤذن للملائكة و النبيين و الشهداء ان يشفعوا</w:t>
      </w:r>
      <w:r w:rsidRPr="0024479E">
        <w:rPr>
          <w:rStyle w:val="FootnoteReference"/>
          <w:color w:val="000000" w:themeColor="text1"/>
          <w:sz w:val="32"/>
          <w:rtl/>
        </w:rPr>
        <w:footnoteReference w:id="3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4 و 5- ائمه معصومين و شيعيان آنها نيز شفاعت مى‏كنند چنان كه على ع مى‏فرمايد: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لنا شفاعة و لاهل مودتنا شفاعة</w:t>
      </w:r>
      <w:r w:rsidRPr="0024479E">
        <w:rPr>
          <w:rStyle w:val="FootnoteReference"/>
          <w:color w:val="000000" w:themeColor="text1"/>
          <w:sz w:val="32"/>
          <w:rtl/>
        </w:rPr>
        <w:footnoteReference w:id="4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6 و 7- علماء و دانشمندان و همچنين شهيدان راه خدا از شفيعانند چنان كه در حديثى از پيغمبر اكرم ص مى‏خوانيم: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يشفع يوم القيامة الانبياء ثم العلماء ثم الشهداء</w:t>
      </w:r>
      <w:r w:rsidRPr="0024479E">
        <w:rPr>
          <w:rStyle w:val="FootnoteReference"/>
          <w:color w:val="000000" w:themeColor="text1"/>
          <w:sz w:val="32"/>
          <w:rtl/>
        </w:rPr>
        <w:footnoteReference w:id="5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حتى در حديثى از همان حضرت ص آمده است كه‏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يشفع الشهيد فى سبعين انسانا من اهل بيته‏</w:t>
      </w:r>
      <w:r w:rsidRPr="0024479E">
        <w:rPr>
          <w:rStyle w:val="FootnoteReference"/>
          <w:color w:val="000000" w:themeColor="text1"/>
          <w:sz w:val="32"/>
          <w:rtl/>
        </w:rPr>
        <w:footnoteReference w:id="6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و در حديث ديگرى كه مرحوم" علامه مجلسى" در" بحار الانوار" آورده: شفاعت آنها در باره هفتاد هزار نفر پذيرفته مى‏شود"!</w:t>
      </w:r>
      <w:r w:rsidRPr="0024479E">
        <w:rPr>
          <w:rStyle w:val="FootnoteReference"/>
          <w:color w:val="000000" w:themeColor="text1"/>
          <w:sz w:val="32"/>
          <w:rtl/>
        </w:rPr>
        <w:footnoteReference w:id="7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8- قرآن‏ نيز در روز قيامت‏ شفاعت‏ مى‏كند چنان كه على ع فرمود:</w:t>
      </w:r>
      <w:r w:rsidRPr="0024479E">
        <w:rPr>
          <w:rFonts w:hint="cs"/>
          <w:color w:val="000000" w:themeColor="text1"/>
          <w:sz w:val="40"/>
          <w:szCs w:val="36"/>
          <w:rtl/>
        </w:rPr>
        <w:t xml:space="preserve"> </w:t>
      </w:r>
      <w:r w:rsidRPr="0024479E">
        <w:rPr>
          <w:rFonts w:hint="cs"/>
          <w:color w:val="000000" w:themeColor="text1"/>
          <w:sz w:val="40"/>
          <w:szCs w:val="36"/>
          <w:rtl/>
        </w:rPr>
        <w:t>و اعلموا انه (القرآن) شافع مشفع‏</w:t>
      </w:r>
      <w:r w:rsidRPr="0024479E">
        <w:rPr>
          <w:rStyle w:val="FootnoteReference"/>
          <w:color w:val="000000" w:themeColor="text1"/>
          <w:sz w:val="32"/>
          <w:rtl/>
        </w:rPr>
        <w:footnoteReference w:id="8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lastRenderedPageBreak/>
        <w:t>9- كسانى كه عمرى در اسلام صرف كرده‏اند، چنان كه در حديثى از پيغمبر اكرم ص مى‏خوانيم: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اذا بلغ الرجل التسعين غفر اللَّه ما تقدم من ذنبه و ما تاخر و شفع فى اهله‏</w:t>
      </w:r>
      <w:r w:rsidRPr="0024479E">
        <w:rPr>
          <w:rStyle w:val="FootnoteReference"/>
          <w:color w:val="000000" w:themeColor="text1"/>
          <w:sz w:val="32"/>
          <w:rtl/>
        </w:rPr>
        <w:footnoteReference w:id="9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10- عبادات نيز شفاعت مى‏كنند، چنان كه در حديثى از رسول خدا ص آمده است: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الصيام و القرآن يشفعان للعبد يوم القيامة"</w:t>
      </w:r>
      <w:r w:rsidRPr="0024479E">
        <w:rPr>
          <w:rStyle w:val="FootnoteReference"/>
          <w:color w:val="000000" w:themeColor="text1"/>
          <w:sz w:val="32"/>
          <w:rtl/>
        </w:rPr>
        <w:footnoteReference w:id="10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11- از بعضى از روايات استفاده مى‏شود كه اعمال نيك مانند امانتى كه انسان در حفظ آن كوشيده است نيز در قيامت از انسان شفاعت مى‏كند</w:t>
      </w:r>
      <w:r w:rsidRPr="0024479E">
        <w:rPr>
          <w:rStyle w:val="FootnoteReference"/>
          <w:color w:val="000000" w:themeColor="text1"/>
          <w:sz w:val="32"/>
          <w:rtl/>
        </w:rPr>
        <w:footnoteReference w:id="11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12- خود خداوند هم شفاعت گنهكاران مى‏كند، چنان كه در حديث ديگرى از رسول اكرم ص آمده است:</w:t>
      </w:r>
    </w:p>
    <w:p w:rsidR="00A22E6A" w:rsidRPr="0024479E" w:rsidRDefault="00A22E6A" w:rsidP="0024479E">
      <w:pPr>
        <w:rPr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يشفع النبيون و الملائكة و المؤمنون فيقول الجبار بقيت شفاعتى‏"</w:t>
      </w:r>
      <w:r w:rsidRPr="0024479E">
        <w:rPr>
          <w:rStyle w:val="FootnoteReference"/>
          <w:color w:val="000000" w:themeColor="text1"/>
          <w:sz w:val="32"/>
          <w:rtl/>
        </w:rPr>
        <w:footnoteReference w:id="12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A22E6A" w:rsidRDefault="00A22E6A" w:rsidP="0024479E">
      <w:pPr>
        <w:pStyle w:val="ListParagraph"/>
        <w:numPr>
          <w:ilvl w:val="0"/>
          <w:numId w:val="1"/>
        </w:numPr>
        <w:jc w:val="center"/>
        <w:rPr>
          <w:rFonts w:hint="cs"/>
          <w:rtl/>
        </w:rPr>
      </w:pPr>
      <w:r w:rsidRPr="0024479E">
        <w:rPr>
          <w:rFonts w:asciiTheme="majorHAnsi" w:eastAsiaTheme="majorEastAsia" w:hAnsiTheme="majorHAnsi" w:cs="IRTitr" w:hint="cs"/>
          <w:spacing w:val="-10"/>
          <w:kern w:val="28"/>
          <w:sz w:val="56"/>
          <w:szCs w:val="56"/>
          <w:rtl/>
        </w:rPr>
        <w:t>الشُّفَعاءُ</w:t>
      </w:r>
      <w:r w:rsidR="0024479E">
        <w:rPr>
          <w:rFonts w:hint="cs"/>
          <w:rtl/>
        </w:rPr>
        <w:t xml:space="preserve"> </w:t>
      </w:r>
      <w:r w:rsidR="0024479E" w:rsidRPr="0024479E">
        <w:rPr>
          <w:rFonts w:ascii="IRNazanin" w:eastAsiaTheme="majorEastAsia" w:hAnsi="IRNazanin" w:cs="IRNazanin" w:hint="cs"/>
          <w:spacing w:val="-10"/>
          <w:kern w:val="28"/>
          <w:szCs w:val="36"/>
          <w:rtl/>
        </w:rPr>
        <w:t>(</w:t>
      </w:r>
      <w:r w:rsidR="0024479E" w:rsidRPr="0024479E">
        <w:rPr>
          <w:rFonts w:ascii="IRNazanin" w:eastAsiaTheme="majorEastAsia" w:hAnsi="IRNazanin" w:cs="IRNazanin" w:hint="cs"/>
          <w:spacing w:val="-10"/>
          <w:kern w:val="28"/>
          <w:szCs w:val="36"/>
          <w:rtl/>
        </w:rPr>
        <w:t>ميزان الحكمة ؛ ج‏5-عربى ؛ ص593</w:t>
      </w:r>
      <w:r w:rsidR="0024479E" w:rsidRPr="0024479E">
        <w:rPr>
          <w:rFonts w:ascii="IRNazanin" w:eastAsiaTheme="majorEastAsia" w:hAnsi="IRNazanin" w:cs="IRNazanin" w:hint="cs"/>
          <w:spacing w:val="-10"/>
          <w:kern w:val="28"/>
          <w:szCs w:val="36"/>
          <w:rtl/>
        </w:rPr>
        <w:t>)</w:t>
      </w:r>
    </w:p>
    <w:p w:rsidR="00A22E6A" w:rsidRDefault="00A22E6A" w:rsidP="0024479E">
      <w:pPr>
        <w:rPr>
          <w:rFonts w:hint="cs"/>
          <w:rtl/>
        </w:rPr>
      </w:pPr>
    </w:p>
    <w:p w:rsidR="00A22E6A" w:rsidRPr="000F2DD8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0F2DD8">
        <w:rPr>
          <w:rFonts w:hint="cs"/>
          <w:color w:val="000000" w:themeColor="text1"/>
          <w:rtl/>
        </w:rPr>
        <w:t>9668</w:t>
      </w:r>
      <w:r w:rsidRPr="000F2DD8">
        <w:rPr>
          <w:rFonts w:hint="cs"/>
          <w:color w:val="000000" w:themeColor="text1"/>
          <w:sz w:val="40"/>
          <w:szCs w:val="36"/>
          <w:rtl/>
        </w:rPr>
        <w:t>. رسولُ اللَّهِ صلى الله عليه و آله: ثلاثةٌ يَشفَعُونَ إلى اللَّهِ عَزَّوجلَّ فَيُشَفَّعُونَ: الأنبياءُ، ثُمّ العُلَماءُ، ثُمّ الشُّهَداءُ.</w:t>
      </w:r>
      <w:r w:rsidRPr="000F2DD8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3"/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9669. عنه صلى الله عليه و آله: الشَّفاعَةُ لِلأنْبِياءِ والأوصِياءِ والمُؤمِنِينَ والمَلائكةِ.</w:t>
      </w:r>
      <w:r w:rsidRPr="0024479E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4"/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9670. عنه صلى الله عليه و آله: إنّي أشفَعُ يَومَ القِيامَةِ فَاشَفَّعُ، ويَشفَعُ عَلِيٌّ فَيُشَفَّعُ ويَشفَعُ أهلُ بَيتي فَيُشَفَّعُونَ.</w:t>
      </w:r>
      <w:r w:rsidRPr="0024479E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5"/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lastRenderedPageBreak/>
        <w:t>9671. عنه صلى الله عليه و آله: الشُّفَعاءُ خَمسَةٌ: القُرآنُ، والرَّحِمُ، والأمانَةُ، ونَبِيُّكُم، وأهلُ بَيتِ نَبِيِّكُم.</w:t>
      </w:r>
      <w:r w:rsidRPr="0024479E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6"/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9672. عنه صلى الله عليه و آله: تَعَلَّمُوا القُرآنَ؛ فإنّهُ شافِعٌ يَومَ القِيامَةِ.</w:t>
      </w:r>
      <w:r w:rsidRPr="0024479E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7"/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9673. عنه صلى الله عليه و آله: الصِّيامُ والقُرآنُ يَشفَعانِ لِلعَبدِ يَومَ القِيامَةِ.</w:t>
      </w:r>
      <w:r w:rsidRPr="0024479E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8"/>
      </w:r>
    </w:p>
    <w:p w:rsidR="00A22E6A" w:rsidRPr="0024479E" w:rsidRDefault="00A22E6A" w:rsidP="0024479E">
      <w:pPr>
        <w:rPr>
          <w:rFonts w:hint="cs"/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9674. عنه صلى الله عليه و آله: لا شَفيعَ أنجَحُ مِنَ التَّوبَةِ.</w:t>
      </w:r>
      <w:r w:rsidRPr="0024479E">
        <w:rPr>
          <w:rStyle w:val="FootnoteReference"/>
          <w:rFonts w:ascii="Noor_Nazli" w:hAnsi="Noor_Nazli" w:cs="Noor_Nazli"/>
          <w:color w:val="000000" w:themeColor="text1"/>
          <w:sz w:val="32"/>
          <w:rtl/>
        </w:rPr>
        <w:footnoteReference w:id="19"/>
      </w:r>
    </w:p>
    <w:p w:rsidR="00A22E6A" w:rsidRDefault="00A22E6A" w:rsidP="0024479E">
      <w:pPr>
        <w:rPr>
          <w:rtl/>
        </w:rPr>
      </w:pPr>
    </w:p>
    <w:p w:rsidR="00E57EDD" w:rsidRDefault="00E57EDD" w:rsidP="0024479E"/>
    <w:sectPr w:rsidR="00E57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73" w:rsidRDefault="00317573" w:rsidP="00A22E6A">
      <w:r>
        <w:separator/>
      </w:r>
    </w:p>
  </w:endnote>
  <w:endnote w:type="continuationSeparator" w:id="0">
    <w:p w:rsidR="00317573" w:rsidRDefault="00317573" w:rsidP="00A2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Nazli"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73" w:rsidRDefault="00317573" w:rsidP="00A22E6A">
      <w:r>
        <w:separator/>
      </w:r>
    </w:p>
  </w:footnote>
  <w:footnote w:type="continuationSeparator" w:id="0">
    <w:p w:rsidR="00317573" w:rsidRDefault="00317573" w:rsidP="00A22E6A">
      <w:r>
        <w:continuationSeparator/>
      </w:r>
    </w:p>
  </w:footnote>
  <w:footnote w:id="1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" صحيح مسلم" جلد 2 صفحه 130.</w:t>
      </w:r>
    </w:p>
  </w:footnote>
  <w:footnote w:id="2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مسند احمد" جلد 3 صفحه 12.</w:t>
      </w:r>
    </w:p>
  </w:footnote>
  <w:footnote w:id="3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مسند احمد" جلد 5 صفحه 43.</w:t>
      </w:r>
    </w:p>
  </w:footnote>
  <w:footnote w:id="4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خصال صدوق" صفحه 624.</w:t>
      </w:r>
    </w:p>
  </w:footnote>
  <w:footnote w:id="5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سنن ابن ماجه" جلد 2 صفحه 1443.</w:t>
      </w:r>
    </w:p>
  </w:footnote>
  <w:footnote w:id="6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سنن ابى داود" جلد 2 صفحه 15.</w:t>
      </w:r>
    </w:p>
  </w:footnote>
  <w:footnote w:id="7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بحار الانوار" جلد 100 صفحه 14.</w:t>
      </w:r>
    </w:p>
  </w:footnote>
  <w:footnote w:id="8">
    <w:p w:rsidR="00A22E6A" w:rsidRPr="0024479E" w:rsidRDefault="00A22E6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sz w:val="26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</w:t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>" نهج البلاغه" خطبه 176.</w:t>
      </w:r>
    </w:p>
  </w:footnote>
  <w:footnote w:id="9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" مسند احمد" جلد 2 صفحه 89.</w:t>
      </w:r>
    </w:p>
  </w:footnote>
  <w:footnote w:id="10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" مسند احمد" جلد 2 صفحه 174.</w:t>
      </w:r>
    </w:p>
  </w:footnote>
  <w:footnote w:id="11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" مناقب ابن شهرآشوب" جلد 2 صفحه 14.</w:t>
      </w:r>
    </w:p>
  </w:footnote>
  <w:footnote w:id="12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" صحيح البخارى" جلد 9 صفحه 149.</w:t>
      </w:r>
    </w:p>
  </w:footnote>
  <w:footnote w:id="13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( 1). الخصال: 156/ 197.</w:t>
      </w:r>
    </w:p>
  </w:footnote>
  <w:footnote w:id="14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( 2). بحار الأنوار: 8/ 58/ 75.</w:t>
      </w:r>
    </w:p>
  </w:footnote>
  <w:footnote w:id="15">
    <w:p w:rsidR="00A22E6A" w:rsidRPr="0024479E" w:rsidRDefault="00A22E6A" w:rsidP="00A22E6A">
      <w:pPr>
        <w:pStyle w:val="FootnoteText"/>
        <w:rPr>
          <w:rFonts w:ascii="IRLotus" w:hAnsi="IRLotus" w:cs="IRLotus"/>
          <w:sz w:val="26"/>
          <w:szCs w:val="26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( 3). مجمع البيان: 1/ 223.</w:t>
      </w:r>
    </w:p>
  </w:footnote>
  <w:footnote w:id="16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( 4). بحار الأنوار: 8/ 43/ 39.</w:t>
      </w:r>
    </w:p>
  </w:footnote>
  <w:footnote w:id="17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( 5). مسند ابن حنبل: 8/ 273/ 22219.</w:t>
      </w:r>
    </w:p>
  </w:footnote>
  <w:footnote w:id="18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( 6). مسند ابن حنبل: 2/ 586/ 6637.</w:t>
      </w:r>
    </w:p>
  </w:footnote>
  <w:footnote w:id="19">
    <w:p w:rsidR="00A22E6A" w:rsidRPr="0024479E" w:rsidRDefault="00A22E6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( 7). بحار الأنوار: 8/ 58/ 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62AD"/>
    <w:multiLevelType w:val="hybridMultilevel"/>
    <w:tmpl w:val="C8C0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56B7"/>
    <w:multiLevelType w:val="hybridMultilevel"/>
    <w:tmpl w:val="008C5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6A"/>
    <w:rsid w:val="000F2DD8"/>
    <w:rsid w:val="0024479E"/>
    <w:rsid w:val="00317573"/>
    <w:rsid w:val="005066C0"/>
    <w:rsid w:val="00660A39"/>
    <w:rsid w:val="00A209BE"/>
    <w:rsid w:val="00A22E6A"/>
    <w:rsid w:val="00E5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D40E45"/>
  <w15:chartTrackingRefBased/>
  <w15:docId w15:val="{031AAF93-1347-4601-B652-586D1DA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RBadr" w:eastAsiaTheme="minorHAnsi" w:hAnsi="IRBadr" w:cs="IRBadr"/>
        <w:sz w:val="36"/>
        <w:szCs w:val="3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aliases w:val="حدیث"/>
    <w:basedOn w:val="Normal"/>
    <w:next w:val="Normal"/>
    <w:link w:val="Heading1Char"/>
    <w:autoRedefine/>
    <w:uiPriority w:val="9"/>
    <w:qFormat/>
    <w:rsid w:val="0024479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6"/>
    </w:rPr>
  </w:style>
  <w:style w:type="paragraph" w:styleId="Heading2">
    <w:name w:val="heading 2"/>
    <w:aliases w:val="پاورقی"/>
    <w:basedOn w:val="Normal"/>
    <w:next w:val="Normal"/>
    <w:link w:val="Heading2Char"/>
    <w:uiPriority w:val="9"/>
    <w:unhideWhenUsed/>
    <w:qFormat/>
    <w:rsid w:val="00A209BE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پاورقی Char"/>
    <w:basedOn w:val="DefaultParagraphFont"/>
    <w:link w:val="Heading2"/>
    <w:uiPriority w:val="9"/>
    <w:rsid w:val="00A209BE"/>
    <w:rPr>
      <w:rFonts w:eastAsiaTheme="majorEastAsia" w:cstheme="majorBidi"/>
      <w:sz w:val="28"/>
      <w:szCs w:val="26"/>
    </w:rPr>
  </w:style>
  <w:style w:type="character" w:customStyle="1" w:styleId="Heading1Char">
    <w:name w:val="Heading 1 Char"/>
    <w:aliases w:val="حدیث Char"/>
    <w:basedOn w:val="DefaultParagraphFont"/>
    <w:link w:val="Heading1"/>
    <w:uiPriority w:val="9"/>
    <w:rsid w:val="0024479E"/>
    <w:rPr>
      <w:rFonts w:asciiTheme="majorHAnsi" w:eastAsiaTheme="majorEastAsia" w:hAnsiTheme="majorHAnsi" w:cs="Times New Roman"/>
      <w:color w:val="000000" w:themeColor="text1"/>
      <w:sz w:val="32"/>
      <w:szCs w:val="3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6A"/>
    <w:rPr>
      <w:rFonts w:ascii="Traditional Arabic" w:hAnsi="Traditional Arabic" w:cs="Traditional Arabic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6A"/>
    <w:rPr>
      <w:rFonts w:ascii="Traditional Arabic" w:hAnsi="Traditional Arabic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6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22E6A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22E6A"/>
    <w:pPr>
      <w:contextualSpacing/>
    </w:pPr>
    <w:rPr>
      <w:rFonts w:asciiTheme="majorHAnsi" w:eastAsiaTheme="majorEastAsia" w:hAnsiTheme="majorHAnsi" w:cs="IRTitr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E6A"/>
    <w:rPr>
      <w:rFonts w:asciiTheme="majorHAnsi" w:eastAsiaTheme="majorEastAsia" w:hAnsiTheme="majorHAnsi" w:cs="IRTitr"/>
      <w:spacing w:val="-10"/>
      <w:kern w:val="28"/>
      <w:sz w:val="56"/>
      <w:szCs w:val="56"/>
      <w:lang w:bidi="fa-IR"/>
    </w:rPr>
  </w:style>
  <w:style w:type="paragraph" w:styleId="ListParagraph">
    <w:name w:val="List Paragraph"/>
    <w:basedOn w:val="Normal"/>
    <w:uiPriority w:val="34"/>
    <w:qFormat/>
    <w:rsid w:val="0024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Abdulahad Gharari</dc:creator>
  <cp:keywords/>
  <dc:description/>
  <cp:lastModifiedBy>Abdulahad Gharari</cp:lastModifiedBy>
  <cp:revision>3</cp:revision>
  <dcterms:created xsi:type="dcterms:W3CDTF">2024-11-05T13:51:00Z</dcterms:created>
  <dcterms:modified xsi:type="dcterms:W3CDTF">2024-11-05T14:09:00Z</dcterms:modified>
</cp:coreProperties>
</file>