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12" w:rsidRDefault="004D1012" w:rsidP="004D1012">
      <w:pPr>
        <w:pStyle w:val="NormalWeb"/>
        <w:bidi/>
        <w:jc w:val="center"/>
      </w:pPr>
      <w:r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</w:rPr>
        <w:t>بســـــــم الله الرحمن الرحیم</w:t>
      </w:r>
    </w:p>
    <w:p w:rsidR="004D1012" w:rsidRPr="006B5D98" w:rsidRDefault="004D1012" w:rsidP="004D1012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:rsidR="004D1012" w:rsidRDefault="004D1012" w:rsidP="004D1012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163</w:t>
      </w:r>
    </w:p>
    <w:p w:rsidR="00F62374" w:rsidRDefault="004D1012" w:rsidP="004D1012">
      <w:pPr>
        <w:jc w:val="both"/>
        <w:rPr>
          <w:rFonts w:ascii="IRBadr" w:hAnsi="IRBadr" w:cs="IRBadr"/>
          <w:sz w:val="32"/>
          <w:szCs w:val="32"/>
          <w:rtl/>
        </w:rPr>
      </w:pPr>
      <w:r w:rsidRPr="004D1012">
        <w:rPr>
          <w:rFonts w:ascii="IRBadr" w:hAnsi="IRBadr" w:cs="IRBadr"/>
          <w:sz w:val="32"/>
          <w:szCs w:val="32"/>
          <w:rtl/>
        </w:rPr>
        <w:t>قد تبين بالبرهان في الفلسفة الأولى أن العلية تقتضي قيام المعلول في وجوده و كمالاته الأولية و الثانوية بالعلة و إن ذلك كلّه من تنزلات العلة دون النواقص و الجهات العدمية.</w:t>
      </w:r>
    </w:p>
    <w:p w:rsidR="00691163" w:rsidRDefault="00E172E0" w:rsidP="004D1012">
      <w:pPr>
        <w:jc w:val="both"/>
        <w:rPr>
          <w:rFonts w:ascii="IRBadr" w:hAnsi="IRBadr" w:cs="IRBadr"/>
          <w:sz w:val="32"/>
          <w:szCs w:val="32"/>
          <w:rtl/>
        </w:rPr>
      </w:pPr>
      <w:r w:rsidRPr="00107D22">
        <w:rPr>
          <w:rFonts w:ascii="IRBadr" w:hAnsi="IRBadr" w:cs="IRBadr" w:hint="cs"/>
          <w:sz w:val="32"/>
          <w:szCs w:val="32"/>
          <w:highlight w:val="yellow"/>
          <w:rtl/>
        </w:rPr>
        <w:t>لازمه قول به اصالت وجود</w:t>
      </w:r>
      <w:r w:rsidRPr="00107D22">
        <w:rPr>
          <w:rStyle w:val="FootnoteReference"/>
          <w:rFonts w:ascii="IRBadr" w:hAnsi="IRBadr" w:cs="IRBadr"/>
          <w:sz w:val="32"/>
          <w:szCs w:val="32"/>
          <w:highlight w:val="yellow"/>
          <w:rtl/>
        </w:rPr>
        <w:footnoteReference w:id="1"/>
      </w:r>
      <w:r w:rsidRPr="00107D22">
        <w:rPr>
          <w:rFonts w:ascii="IRBadr" w:hAnsi="IRBadr" w:cs="IRBadr" w:hint="cs"/>
          <w:sz w:val="32"/>
          <w:szCs w:val="32"/>
          <w:highlight w:val="yellow"/>
          <w:rtl/>
        </w:rPr>
        <w:t xml:space="preserve"> و نبود ما به الازاء برای عدم</w:t>
      </w:r>
      <w:r w:rsidRPr="00107D22">
        <w:rPr>
          <w:rStyle w:val="FootnoteReference"/>
          <w:rFonts w:ascii="IRBadr" w:hAnsi="IRBadr" w:cs="IRBadr"/>
          <w:sz w:val="32"/>
          <w:szCs w:val="32"/>
          <w:highlight w:val="yellow"/>
          <w:rtl/>
        </w:rPr>
        <w:footnoteReference w:id="2"/>
      </w:r>
      <w:r w:rsidRPr="00107D22">
        <w:rPr>
          <w:rFonts w:ascii="IRBadr" w:hAnsi="IRBadr" w:cs="IRBadr" w:hint="cs"/>
          <w:sz w:val="32"/>
          <w:szCs w:val="32"/>
          <w:highlight w:val="yellow"/>
          <w:rtl/>
        </w:rPr>
        <w:t>، این است که معلول مرکب از مجعول علت و عدم نیست.</w:t>
      </w:r>
    </w:p>
    <w:p w:rsidR="00E172E0" w:rsidRDefault="00107D22" w:rsidP="004D1012">
      <w:pPr>
        <w:jc w:val="both"/>
        <w:rPr>
          <w:rFonts w:ascii="IRBadr" w:hAnsi="IRBadr" w:cs="IRBadr"/>
          <w:sz w:val="32"/>
          <w:szCs w:val="32"/>
          <w:rtl/>
        </w:rPr>
      </w:pPr>
      <w:r w:rsidRPr="00107D22">
        <w:rPr>
          <w:rFonts w:ascii="IRBadr" w:hAnsi="IRBadr" w:cs="IRBadr" w:hint="cs"/>
          <w:sz w:val="32"/>
          <w:szCs w:val="32"/>
          <w:highlight w:val="yellow"/>
          <w:rtl/>
        </w:rPr>
        <w:t>پس تا اینجا دو حکم برای معالیل روشن می شود؛ یکی تقوم به علت و دیگری تنزل از علت.</w:t>
      </w:r>
    </w:p>
    <w:p w:rsidR="00595739" w:rsidRDefault="00595739" w:rsidP="004D1012">
      <w:pPr>
        <w:jc w:val="both"/>
        <w:rPr>
          <w:rFonts w:ascii="IRBadr" w:hAnsi="IRBadr" w:cs="IRBadr"/>
          <w:sz w:val="32"/>
          <w:szCs w:val="32"/>
          <w:rtl/>
        </w:rPr>
      </w:pP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أيضا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إن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عالم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المادة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مسبوق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الوجود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بعالم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آخر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غير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متعلق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بالمادة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فيه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أحكام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المادة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هو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علّته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بعالم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آخر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مجرد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عن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المادة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أحكامها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هو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علّة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علته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يسميان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بعالمي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المثال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العقل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عالمي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البرزخ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و</w:t>
      </w:r>
      <w:r w:rsidRPr="00595739">
        <w:rPr>
          <w:rFonts w:ascii="IRBadr" w:hAnsi="IRBadr" w:cs="IRBadr"/>
          <w:sz w:val="32"/>
          <w:szCs w:val="32"/>
          <w:rtl/>
        </w:rPr>
        <w:t xml:space="preserve"> </w:t>
      </w:r>
      <w:r w:rsidRPr="00595739">
        <w:rPr>
          <w:rFonts w:ascii="IRBadr" w:hAnsi="IRBadr" w:cs="IRBadr" w:hint="cs"/>
          <w:sz w:val="32"/>
          <w:szCs w:val="32"/>
          <w:rtl/>
        </w:rPr>
        <w:t>الروح‏</w:t>
      </w:r>
      <w:r>
        <w:rPr>
          <w:rFonts w:ascii="IRBadr" w:hAnsi="IRBadr" w:cs="IRBadr" w:hint="cs"/>
          <w:sz w:val="32"/>
          <w:szCs w:val="32"/>
          <w:rtl/>
        </w:rPr>
        <w:t>.</w:t>
      </w:r>
    </w:p>
    <w:p w:rsidR="00595739" w:rsidRDefault="00595739" w:rsidP="00595739">
      <w:pPr>
        <w:pStyle w:val="NormalWeb"/>
        <w:bidi/>
        <w:jc w:val="both"/>
        <w:rPr>
          <w:rFonts w:ascii="IRBadr" w:eastAsiaTheme="minorHAnsi" w:hAnsi="IRBadr" w:cs="IRBadr"/>
          <w:sz w:val="32"/>
          <w:szCs w:val="32"/>
          <w:highlight w:val="yellow"/>
          <w:rtl/>
        </w:rPr>
      </w:pPr>
      <w:r w:rsidRPr="00B43E18">
        <w:rPr>
          <w:rFonts w:ascii="IRBadr" w:eastAsiaTheme="minorHAnsi" w:hAnsi="IRBadr" w:cs="IRBadr"/>
          <w:sz w:val="32"/>
          <w:szCs w:val="32"/>
          <w:highlight w:val="yellow"/>
          <w:rtl/>
        </w:rPr>
        <w:t>لما كان الواجب تعالى- واحدا بسيطا من جميع الجهات- امتنع أن يصدر منه الكثير- سواء كان الصادر مجردا كالعقول العرضية- أو ماديا كالأنواع المادية- لأن الواحد لا يصدر عنه إلا الواحد- فأول صادر منه تعالى عقل واحد- يحاكي بوجوده الواحد الظلي- وجود الواجب تعالى في وحدته-.</w:t>
      </w:r>
      <w:r w:rsidR="00107D22">
        <w:rPr>
          <w:rStyle w:val="FootnoteReference"/>
          <w:rFonts w:ascii="IRBadr" w:eastAsiaTheme="minorHAnsi" w:hAnsi="IRBadr" w:cs="IRBadr"/>
          <w:sz w:val="32"/>
          <w:szCs w:val="32"/>
          <w:highlight w:val="yellow"/>
          <w:rtl/>
        </w:rPr>
        <w:footnoteReference w:id="3"/>
      </w:r>
    </w:p>
    <w:p w:rsidR="00E36016" w:rsidRPr="00E36016" w:rsidRDefault="00E36016" w:rsidP="00E36016">
      <w:pPr>
        <w:pStyle w:val="NormalWeb"/>
        <w:bidi/>
        <w:jc w:val="both"/>
        <w:rPr>
          <w:rFonts w:ascii="IRBadr" w:eastAsiaTheme="minorHAnsi" w:hAnsi="IRBadr" w:cs="IRBadr"/>
          <w:color w:val="FFFFFF" w:themeColor="background1"/>
          <w:sz w:val="32"/>
          <w:szCs w:val="32"/>
          <w:highlight w:val="black"/>
          <w:rtl/>
        </w:rPr>
      </w:pPr>
      <w:r w:rsidRPr="00E36016"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>قاعده مسانخت معلول با علت، قاعده الواحد، مراحل صدور عوالم، وجود علمی، وجود عینی، حقیقت «آیه»، اصالت وجود</w:t>
      </w:r>
      <w:bookmarkStart w:id="0" w:name="_GoBack"/>
      <w:r w:rsidRPr="00E36016"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>، حقیقت معلول</w:t>
      </w:r>
      <w:r w:rsidR="00615A49"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>،</w:t>
      </w:r>
      <w:r w:rsidR="00615A49" w:rsidRPr="00615A49"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 xml:space="preserve"> </w:t>
      </w:r>
      <w:r w:rsidR="00615A49" w:rsidRPr="00615A49"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>عالم عقل، عالم مثال</w:t>
      </w:r>
      <w:bookmarkEnd w:id="0"/>
    </w:p>
    <w:sectPr w:rsidR="00E36016" w:rsidRPr="00E36016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4E" w:rsidRDefault="0075664E" w:rsidP="00595739">
      <w:pPr>
        <w:spacing w:after="0" w:line="240" w:lineRule="auto"/>
      </w:pPr>
      <w:r>
        <w:separator/>
      </w:r>
    </w:p>
  </w:endnote>
  <w:endnote w:type="continuationSeparator" w:id="0">
    <w:p w:rsidR="0075664E" w:rsidRDefault="0075664E" w:rsidP="0059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4E" w:rsidRDefault="0075664E" w:rsidP="00595739">
      <w:pPr>
        <w:spacing w:after="0" w:line="240" w:lineRule="auto"/>
      </w:pPr>
      <w:r>
        <w:separator/>
      </w:r>
    </w:p>
  </w:footnote>
  <w:footnote w:type="continuationSeparator" w:id="0">
    <w:p w:rsidR="0075664E" w:rsidRDefault="0075664E" w:rsidP="00595739">
      <w:pPr>
        <w:spacing w:after="0" w:line="240" w:lineRule="auto"/>
      </w:pPr>
      <w:r>
        <w:continuationSeparator/>
      </w:r>
    </w:p>
  </w:footnote>
  <w:footnote w:id="1">
    <w:p w:rsidR="00E172E0" w:rsidRPr="00E172E0" w:rsidRDefault="00E172E0" w:rsidP="00E172E0">
      <w:pPr>
        <w:pStyle w:val="FootnoteText"/>
        <w:rPr>
          <w:rFonts w:ascii="IRBadr" w:hAnsi="IRBadr" w:cs="IRBadr"/>
          <w:sz w:val="28"/>
          <w:szCs w:val="28"/>
          <w:lang w:bidi="fa-IR"/>
        </w:rPr>
      </w:pPr>
      <w:r w:rsidRPr="00E172E0">
        <w:rPr>
          <w:rStyle w:val="FootnoteReference"/>
          <w:rFonts w:ascii="IRBadr" w:hAnsi="IRBadr" w:cs="IRBadr"/>
          <w:sz w:val="28"/>
          <w:szCs w:val="28"/>
        </w:rPr>
        <w:footnoteRef/>
      </w:r>
      <w:r w:rsidRPr="00E172E0">
        <w:rPr>
          <w:rFonts w:ascii="IRBadr" w:hAnsi="IRBadr" w:cs="IRBadr"/>
          <w:sz w:val="28"/>
          <w:szCs w:val="28"/>
          <w:rtl/>
        </w:rPr>
        <w:t xml:space="preserve"> </w:t>
      </w:r>
      <w:r w:rsidRPr="00E172E0">
        <w:rPr>
          <w:rFonts w:ascii="IRBadr" w:hAnsi="IRBadr" w:cs="IRBadr"/>
          <w:sz w:val="28"/>
          <w:szCs w:val="28"/>
          <w:rtl/>
          <w:lang w:bidi="fa-IR"/>
        </w:rPr>
        <w:t xml:space="preserve">. </w:t>
      </w:r>
      <w:r w:rsidRPr="00E172E0">
        <w:rPr>
          <w:rFonts w:ascii="IRBadr" w:hAnsi="IRBadr" w:cs="IRBadr"/>
          <w:sz w:val="28"/>
          <w:szCs w:val="28"/>
          <w:rtl/>
        </w:rPr>
        <w:t>المرحلة الأولی من بدایةالحکمة/</w:t>
      </w:r>
      <w:r w:rsidRPr="00E172E0">
        <w:rPr>
          <w:rFonts w:ascii="IRBadr" w:hAnsi="IRBadr" w:cs="IRBadr"/>
          <w:sz w:val="28"/>
          <w:szCs w:val="28"/>
          <w:rtl/>
          <w:lang w:bidi="fa-IR"/>
        </w:rPr>
        <w:t>الفصل الرابع في أصالة الوجود و اعتبارية الماهية</w:t>
      </w:r>
    </w:p>
  </w:footnote>
  <w:footnote w:id="2">
    <w:p w:rsidR="00E172E0" w:rsidRDefault="00E172E0">
      <w:pPr>
        <w:pStyle w:val="FootnoteText"/>
        <w:rPr>
          <w:lang w:bidi="fa-IR"/>
        </w:rPr>
      </w:pPr>
      <w:r w:rsidRPr="00E172E0">
        <w:rPr>
          <w:rStyle w:val="FootnoteReference"/>
          <w:rFonts w:ascii="IRBadr" w:hAnsi="IRBadr" w:cs="IRBadr"/>
          <w:sz w:val="28"/>
          <w:szCs w:val="28"/>
        </w:rPr>
        <w:footnoteRef/>
      </w:r>
      <w:r w:rsidRPr="00E172E0">
        <w:rPr>
          <w:rFonts w:ascii="IRBadr" w:hAnsi="IRBadr" w:cs="IRBadr"/>
          <w:sz w:val="28"/>
          <w:szCs w:val="28"/>
          <w:rtl/>
        </w:rPr>
        <w:t xml:space="preserve"> </w:t>
      </w:r>
      <w:r w:rsidRPr="00E172E0">
        <w:rPr>
          <w:rFonts w:ascii="IRBadr" w:hAnsi="IRBadr" w:cs="IRBadr"/>
          <w:sz w:val="28"/>
          <w:szCs w:val="28"/>
          <w:rtl/>
          <w:lang w:bidi="fa-IR"/>
        </w:rPr>
        <w:t>.</w:t>
      </w:r>
      <w:r w:rsidRPr="00E172E0">
        <w:rPr>
          <w:rFonts w:ascii="IRBadr" w:hAnsi="IRBadr" w:cs="IRBadr"/>
          <w:sz w:val="28"/>
          <w:szCs w:val="28"/>
          <w:rtl/>
        </w:rPr>
        <w:t xml:space="preserve"> المرحلة الأولی من بدایةالحکمة/</w:t>
      </w:r>
      <w:r w:rsidRPr="00E172E0">
        <w:rPr>
          <w:rFonts w:ascii="IRBadr" w:hAnsi="IRBadr" w:cs="IRBadr"/>
          <w:sz w:val="28"/>
          <w:szCs w:val="28"/>
          <w:rtl/>
          <w:lang w:bidi="fa-IR"/>
        </w:rPr>
        <w:t>الفصل التاسع الشيئية تساوق الوجود</w:t>
      </w:r>
    </w:p>
  </w:footnote>
  <w:footnote w:id="3">
    <w:p w:rsidR="00107D22" w:rsidRPr="00107D22" w:rsidRDefault="00107D22" w:rsidP="00107D22">
      <w:pPr>
        <w:pStyle w:val="FootnoteText"/>
        <w:rPr>
          <w:rFonts w:ascii="IRBadr" w:hAnsi="IRBadr" w:cs="IRBadr"/>
          <w:sz w:val="28"/>
          <w:szCs w:val="28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 w:rsidRPr="00595739">
        <w:rPr>
          <w:rFonts w:ascii="IRBadr" w:hAnsi="IRBadr" w:cs="IRBadr"/>
          <w:sz w:val="28"/>
          <w:szCs w:val="28"/>
          <w:rtl/>
        </w:rPr>
        <w:t>بداية الحكمة ؛ ص173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12"/>
    <w:rsid w:val="0006341C"/>
    <w:rsid w:val="00093998"/>
    <w:rsid w:val="00107D22"/>
    <w:rsid w:val="00143FD4"/>
    <w:rsid w:val="00376468"/>
    <w:rsid w:val="004A0148"/>
    <w:rsid w:val="004D1012"/>
    <w:rsid w:val="00595739"/>
    <w:rsid w:val="00615A49"/>
    <w:rsid w:val="00691163"/>
    <w:rsid w:val="0075664E"/>
    <w:rsid w:val="00B43E18"/>
    <w:rsid w:val="00E172E0"/>
    <w:rsid w:val="00E36016"/>
    <w:rsid w:val="00F62374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5A23C-D9A0-4DA1-8FCB-297817BF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0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5739"/>
    <w:pPr>
      <w:spacing w:after="0" w:line="240" w:lineRule="auto"/>
      <w:jc w:val="both"/>
    </w:pPr>
    <w:rPr>
      <w:rFonts w:ascii="Traditional Arabic" w:hAnsi="Traditional Arabic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739"/>
    <w:rPr>
      <w:rFonts w:ascii="Traditional Arabic" w:hAnsi="Traditional Arabic" w:cs="Traditional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95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9</cp:revision>
  <dcterms:created xsi:type="dcterms:W3CDTF">2023-02-11T16:18:00Z</dcterms:created>
  <dcterms:modified xsi:type="dcterms:W3CDTF">2023-02-21T17:33:00Z</dcterms:modified>
</cp:coreProperties>
</file>