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6A0C59" w:rsidRPr="006A0C59" w:rsidRDefault="006A0C59" w:rsidP="006A0C59">
      <w:pPr>
        <w:widowControl w:val="0"/>
        <w:spacing w:line="480" w:lineRule="auto"/>
        <w:jc w:val="center"/>
        <w:rPr>
          <w:rFonts w:cs="B Titr"/>
          <w:b/>
          <w:bCs/>
          <w:color w:val="000099"/>
          <w:sz w:val="44"/>
          <w:szCs w:val="44"/>
          <w:rtl/>
        </w:rPr>
      </w:pPr>
      <w:r w:rsidRPr="006A0C59">
        <w:rPr>
          <w:rFonts w:cs="B Titr" w:hint="cs"/>
          <w:b/>
          <w:bCs/>
          <w:color w:val="000099"/>
          <w:sz w:val="44"/>
          <w:szCs w:val="44"/>
          <w:rtl/>
        </w:rPr>
        <w:t>کارکرد فنون تبلیغات در جنگ نرم</w:t>
      </w:r>
      <w:r w:rsidR="002D2192">
        <w:rPr>
          <w:rFonts w:cs="B Titr"/>
          <w:b/>
          <w:bCs/>
          <w:color w:val="000099"/>
          <w:sz w:val="44"/>
          <w:szCs w:val="44"/>
        </w:rPr>
        <w:t>-</w:t>
      </w:r>
      <w:r w:rsidR="002D2192">
        <w:rPr>
          <w:rFonts w:cs="B Titr" w:hint="cs"/>
          <w:b/>
          <w:bCs/>
          <w:color w:val="000099"/>
          <w:sz w:val="44"/>
          <w:szCs w:val="44"/>
          <w:rtl/>
        </w:rPr>
        <w:t>بخش اول</w:t>
      </w:r>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6A0C59">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-2</w:t>
            </w:r>
            <w:r w:rsidR="006A0C59">
              <w:rPr>
                <w:rFonts w:asciiTheme="minorBidi" w:hAnsiTheme="minorBidi"/>
                <w:color w:val="06007A"/>
                <w:sz w:val="28"/>
                <w:szCs w:val="28"/>
              </w:rPr>
              <w:t>6</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6A0C5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w:t>
            </w:r>
            <w:r w:rsidR="006A0C59">
              <w:rPr>
                <w:rFonts w:ascii="IRMitra" w:hAnsi="IRMitra" w:cs="IRMitra" w:hint="cs"/>
                <w:color w:val="06007A"/>
                <w:sz w:val="28"/>
                <w:szCs w:val="28"/>
                <w:rtl/>
              </w:rPr>
              <w:t>رصد/آموزش رصد/قواعد</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6A0C59"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تبلیغات، جنگ نرم، خودجوش، فریب، دروغ</w:t>
            </w:r>
            <w:r w:rsidR="00255FAD">
              <w:rPr>
                <w:rFonts w:ascii="IRMitra" w:hAnsi="IRMitra" w:cs="IRMitra" w:hint="cs"/>
                <w:color w:val="06007A"/>
                <w:sz w:val="28"/>
                <w:szCs w:val="28"/>
                <w:rtl/>
              </w:rPr>
              <w:t xml:space="preserve"> </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2B0B78" w:rsidRDefault="002B0B78" w:rsidP="00255FAD">
      <w:pPr>
        <w:pStyle w:val="a2"/>
        <w:rPr>
          <w:sz w:val="32"/>
        </w:rPr>
      </w:pPr>
    </w:p>
    <w:p w:rsidR="006A0C59" w:rsidRDefault="006A0C59" w:rsidP="00255FAD">
      <w:pPr>
        <w:pStyle w:val="a2"/>
        <w:rPr>
          <w:sz w:val="32"/>
        </w:rPr>
      </w:pPr>
    </w:p>
    <w:p w:rsidR="006A0C59" w:rsidRPr="006A0C59" w:rsidRDefault="006A0C59" w:rsidP="006A0C59">
      <w:pPr>
        <w:widowControl w:val="0"/>
        <w:spacing w:line="480" w:lineRule="auto"/>
        <w:jc w:val="center"/>
        <w:rPr>
          <w:rFonts w:cs="B Titr"/>
          <w:b/>
          <w:bCs/>
          <w:color w:val="000099"/>
          <w:sz w:val="44"/>
          <w:szCs w:val="44"/>
          <w:rtl/>
        </w:rPr>
      </w:pPr>
      <w:r w:rsidRPr="006A0C59">
        <w:rPr>
          <w:rFonts w:cs="B Titr" w:hint="cs"/>
          <w:b/>
          <w:bCs/>
          <w:color w:val="000099"/>
          <w:sz w:val="44"/>
          <w:szCs w:val="44"/>
          <w:rtl/>
        </w:rPr>
        <w:t>کارکرد فنون تبلیغات در جنگ نرم</w:t>
      </w:r>
    </w:p>
    <w:p w:rsidR="006A0C59" w:rsidRPr="007E1F89" w:rsidRDefault="006A0C59" w:rsidP="006A0C59">
      <w:pPr>
        <w:widowControl w:val="0"/>
        <w:bidi w:val="0"/>
        <w:spacing w:line="480" w:lineRule="auto"/>
        <w:rPr>
          <w:rFonts w:cs="B Nazanin"/>
          <w:b/>
          <w:bCs/>
          <w:sz w:val="20"/>
          <w:szCs w:val="20"/>
          <w:rtl/>
        </w:rPr>
      </w:pPr>
      <w:r w:rsidRPr="007E1F89">
        <w:rPr>
          <w:rFonts w:cs="B Nazanin" w:hint="cs"/>
          <w:b/>
          <w:bCs/>
          <w:sz w:val="20"/>
          <w:szCs w:val="20"/>
          <w:rtl/>
        </w:rPr>
        <w:t>حجت‌اله مرادی</w:t>
      </w:r>
      <w:r>
        <w:rPr>
          <w:rStyle w:val="FootnoteReference"/>
          <w:rFonts w:cs="B Nazanin"/>
          <w:b/>
          <w:bCs/>
          <w:rtl/>
        </w:rPr>
        <w:footnoteReference w:id="1"/>
      </w:r>
    </w:p>
    <w:p w:rsidR="006A0C59" w:rsidRPr="006A0C59" w:rsidRDefault="006A0C59" w:rsidP="006A0C59">
      <w:pPr>
        <w:widowControl w:val="0"/>
        <w:spacing w:line="480" w:lineRule="auto"/>
        <w:ind w:hanging="81"/>
        <w:jc w:val="both"/>
        <w:rPr>
          <w:rFonts w:ascii="IRBadr" w:hAnsi="IRBadr" w:cs="IRBadr"/>
          <w:sz w:val="32"/>
          <w:szCs w:val="32"/>
          <w:rtl/>
        </w:rPr>
      </w:pPr>
      <w:r w:rsidRPr="006A0C59">
        <w:rPr>
          <w:rFonts w:ascii="IRBadr" w:hAnsi="IRBadr" w:cs="IRBadr"/>
          <w:sz w:val="32"/>
          <w:szCs w:val="32"/>
          <w:rtl/>
        </w:rPr>
        <w:t>چکیده</w:t>
      </w:r>
    </w:p>
    <w:p w:rsidR="006A0C59" w:rsidRPr="006A0C59" w:rsidRDefault="006A0C59" w:rsidP="006A0C59">
      <w:pPr>
        <w:widowControl w:val="0"/>
        <w:spacing w:line="480" w:lineRule="auto"/>
        <w:jc w:val="both"/>
        <w:rPr>
          <w:rFonts w:ascii="IRBadr" w:hAnsi="IRBadr" w:cs="IRBadr"/>
          <w:sz w:val="32"/>
          <w:szCs w:val="32"/>
          <w:rtl/>
        </w:rPr>
      </w:pPr>
      <w:r w:rsidRPr="006A0C59">
        <w:rPr>
          <w:rFonts w:ascii="IRBadr" w:hAnsi="IRBadr" w:cs="IRBadr"/>
          <w:sz w:val="32"/>
          <w:szCs w:val="32"/>
          <w:rtl/>
        </w:rPr>
        <w:t xml:space="preserve">تبلیغات از جمله واژگانی است که برداشت‌های متفاوت و گاه متعارض و متضاد از آن می‌شود. در یک سوی پیوستار تبلیغات می‌توان اطلاع‌رسانی و آگاهی‌بخشی سیاسی، اقتصادی، اجتماعی و فرهنگی را مشاهده کرد که بر صفحة جراید، مطبوعات، صفحات وب یا تصاویر تلویزیونی یا بر روی امواج رادیویی نقش می‌بندد و در سوی دیگر بزرگ‌نمایی یا کوچک‌انگاری و فریب و دگرگون‌سازی حقیقت و ارائه چهرة وارونه از واقعیت را به نظاره نشست. تبلیغات فرصتی به دست کارگزار و مجری می‌دهد که با بهره‌گیری از تکنیک‌های خاص رسانه‌ای اهداف خود را تحقق بخشد. به هر حال، تبلیغات پدیده‌ای خنثی و بریدة از رأی و نظر مجری خود نیست. چنانچه، در تاریخ معاصر جهان، بخش غالب فرهنگ سیاسی، لقتصادی و اجتماعی جوامع توسط آن رقم خورده است. تأثیرپذیری ارکان فکری و رفتاری افراد در سنین مختلف به ویژه نوجوانان و جوانان از الگوهای عرضه شده در تبلیغات مختلف، مسئله‌ای است که توجه بسیاری از ارباب دانش را به خود مشغول ساخته است. این مقاله، با مفروض شمردن کاربست فنون تبلیغات در رهیافت‌های </w:t>
      </w:r>
      <w:r w:rsidRPr="006A0C59">
        <w:rPr>
          <w:rFonts w:ascii="IRBadr" w:hAnsi="IRBadr" w:cs="IRBadr"/>
          <w:sz w:val="32"/>
          <w:szCs w:val="32"/>
          <w:rtl/>
        </w:rPr>
        <w:lastRenderedPageBreak/>
        <w:t>جنگ نرم، ابعاد مختلف آن را به اجمال شناسایی و بررسی می‌کند. بی‌تردید، توجه به کارکردهای اجتماعی جنگ نرم از ضرورت‌هایی است که نیازمند پژوهش‌های بنیادی و اساسی محققان و اندیشمندان علوم اجتماعی است.</w:t>
      </w:r>
    </w:p>
    <w:p w:rsidR="006A0C59" w:rsidRDefault="006A0C59" w:rsidP="006A0C59">
      <w:pPr>
        <w:widowControl w:val="0"/>
        <w:spacing w:line="480" w:lineRule="auto"/>
        <w:ind w:hanging="81"/>
        <w:jc w:val="both"/>
        <w:rPr>
          <w:rFonts w:ascii="IRBadr" w:hAnsi="IRBadr" w:cs="IRBadr"/>
          <w:sz w:val="32"/>
          <w:szCs w:val="32"/>
        </w:rPr>
      </w:pPr>
      <w:r w:rsidRPr="006A0C59">
        <w:rPr>
          <w:rFonts w:ascii="IRBadr" w:hAnsi="IRBadr" w:cs="IRBadr"/>
          <w:b/>
          <w:bCs/>
          <w:sz w:val="32"/>
          <w:szCs w:val="32"/>
          <w:rtl/>
        </w:rPr>
        <w:t>واژگان کلیدی:</w:t>
      </w:r>
      <w:r w:rsidRPr="006A0C59">
        <w:rPr>
          <w:rFonts w:ascii="IRBadr" w:hAnsi="IRBadr" w:cs="IRBadr"/>
          <w:sz w:val="32"/>
          <w:szCs w:val="32"/>
          <w:rtl/>
        </w:rPr>
        <w:t xml:space="preserve"> فنون تبلیغات، فریب، جنگ نرم. </w:t>
      </w:r>
    </w:p>
    <w:p w:rsidR="006A0C59" w:rsidRDefault="006A0C59" w:rsidP="006A0C59">
      <w:pPr>
        <w:widowControl w:val="0"/>
        <w:spacing w:line="480" w:lineRule="auto"/>
        <w:ind w:hanging="81"/>
        <w:jc w:val="both"/>
        <w:rPr>
          <w:rFonts w:ascii="IRBadr" w:hAnsi="IRBadr" w:cs="IRBadr"/>
          <w:sz w:val="32"/>
          <w:szCs w:val="32"/>
        </w:rPr>
      </w:pPr>
    </w:p>
    <w:p w:rsidR="006A0C59" w:rsidRDefault="006A0C59" w:rsidP="006A0C59">
      <w:pPr>
        <w:widowControl w:val="0"/>
        <w:spacing w:line="480" w:lineRule="auto"/>
        <w:ind w:hanging="81"/>
        <w:jc w:val="both"/>
        <w:rPr>
          <w:rFonts w:ascii="IRBadr" w:hAnsi="IRBadr" w:cs="IRBadr"/>
          <w:sz w:val="32"/>
          <w:szCs w:val="32"/>
        </w:rPr>
      </w:pPr>
    </w:p>
    <w:p w:rsidR="006A0C59" w:rsidRDefault="006A0C59" w:rsidP="006A0C59">
      <w:pPr>
        <w:widowControl w:val="0"/>
        <w:spacing w:line="480" w:lineRule="auto"/>
        <w:ind w:hanging="81"/>
        <w:jc w:val="both"/>
        <w:rPr>
          <w:rFonts w:ascii="IRBadr" w:hAnsi="IRBadr" w:cs="IRBadr"/>
          <w:sz w:val="32"/>
          <w:szCs w:val="32"/>
        </w:rPr>
      </w:pPr>
    </w:p>
    <w:p w:rsidR="006A0C59" w:rsidRDefault="006A0C59" w:rsidP="006A0C59">
      <w:pPr>
        <w:widowControl w:val="0"/>
        <w:spacing w:line="480" w:lineRule="auto"/>
        <w:ind w:hanging="81"/>
        <w:jc w:val="both"/>
        <w:rPr>
          <w:rFonts w:ascii="IRBadr" w:hAnsi="IRBadr" w:cs="IRBadr"/>
          <w:sz w:val="32"/>
          <w:szCs w:val="32"/>
        </w:rPr>
      </w:pPr>
    </w:p>
    <w:p w:rsidR="006A0C59" w:rsidRDefault="006A0C59" w:rsidP="006A0C59">
      <w:pPr>
        <w:widowControl w:val="0"/>
        <w:spacing w:line="480" w:lineRule="auto"/>
        <w:ind w:hanging="81"/>
        <w:jc w:val="both"/>
        <w:rPr>
          <w:rFonts w:ascii="IRBadr" w:hAnsi="IRBadr" w:cs="IRBadr"/>
          <w:sz w:val="32"/>
          <w:szCs w:val="32"/>
        </w:rPr>
      </w:pPr>
    </w:p>
    <w:p w:rsidR="006A0C59" w:rsidRDefault="006A0C59" w:rsidP="006A0C59">
      <w:pPr>
        <w:widowControl w:val="0"/>
        <w:spacing w:line="480" w:lineRule="auto"/>
        <w:ind w:hanging="81"/>
        <w:jc w:val="both"/>
        <w:rPr>
          <w:rFonts w:ascii="IRBadr" w:hAnsi="IRBadr" w:cs="IRBadr"/>
          <w:sz w:val="32"/>
          <w:szCs w:val="32"/>
        </w:rPr>
      </w:pPr>
    </w:p>
    <w:p w:rsidR="006A0C59" w:rsidRDefault="006A0C59" w:rsidP="006A0C59">
      <w:pPr>
        <w:widowControl w:val="0"/>
        <w:spacing w:line="480" w:lineRule="auto"/>
        <w:ind w:hanging="81"/>
        <w:jc w:val="both"/>
        <w:rPr>
          <w:rFonts w:ascii="IRBadr" w:hAnsi="IRBadr" w:cs="IRBadr"/>
          <w:sz w:val="32"/>
          <w:szCs w:val="32"/>
        </w:rPr>
      </w:pPr>
    </w:p>
    <w:p w:rsidR="006A0C59" w:rsidRDefault="006A0C59" w:rsidP="006A0C59">
      <w:pPr>
        <w:widowControl w:val="0"/>
        <w:spacing w:line="480" w:lineRule="auto"/>
        <w:ind w:hanging="81"/>
        <w:jc w:val="both"/>
        <w:rPr>
          <w:rFonts w:ascii="IRBadr" w:hAnsi="IRBadr" w:cs="IRBadr"/>
          <w:sz w:val="32"/>
          <w:szCs w:val="32"/>
        </w:rPr>
      </w:pPr>
    </w:p>
    <w:p w:rsidR="006A0C59" w:rsidRDefault="006A0C59" w:rsidP="006A0C59">
      <w:pPr>
        <w:widowControl w:val="0"/>
        <w:spacing w:line="480" w:lineRule="auto"/>
        <w:ind w:hanging="81"/>
        <w:jc w:val="both"/>
        <w:rPr>
          <w:rFonts w:ascii="IRBadr" w:hAnsi="IRBadr" w:cs="IRBadr"/>
          <w:sz w:val="32"/>
          <w:szCs w:val="32"/>
        </w:rPr>
      </w:pPr>
    </w:p>
    <w:p w:rsidR="006A0C59" w:rsidRPr="006A0C59" w:rsidRDefault="006A0C59" w:rsidP="006A0C59">
      <w:pPr>
        <w:widowControl w:val="0"/>
        <w:spacing w:line="480" w:lineRule="auto"/>
        <w:ind w:hanging="81"/>
        <w:jc w:val="both"/>
        <w:rPr>
          <w:rFonts w:ascii="IRBadr" w:hAnsi="IRBadr" w:cs="IRBadr"/>
          <w:sz w:val="32"/>
          <w:szCs w:val="32"/>
          <w:rtl/>
        </w:rPr>
      </w:pPr>
    </w:p>
    <w:p w:rsidR="006A0C59" w:rsidRPr="006A0C59" w:rsidRDefault="006A0C59" w:rsidP="006A0C59">
      <w:pPr>
        <w:widowControl w:val="0"/>
        <w:spacing w:line="480" w:lineRule="auto"/>
        <w:ind w:hanging="81"/>
        <w:jc w:val="both"/>
        <w:rPr>
          <w:rFonts w:ascii="IRBadr" w:hAnsi="IRBadr" w:cs="IRBadr"/>
          <w:sz w:val="32"/>
          <w:szCs w:val="32"/>
          <w:rtl/>
        </w:rPr>
      </w:pPr>
      <w:r w:rsidRPr="006A0C59">
        <w:rPr>
          <w:rFonts w:ascii="IRBadr" w:hAnsi="IRBadr" w:cs="IRBadr"/>
          <w:sz w:val="32"/>
          <w:szCs w:val="32"/>
          <w:rtl/>
        </w:rPr>
        <w:lastRenderedPageBreak/>
        <w:t>تبلیغات عبارت است از هنر و عمل انتشار اطلاعات در بین تعداد زیادی از افراد. این اطلاعات بسته به سرشت تبلیغات ممکن است درست یا غلط باشند اما در این مقاله تنها نوع غلط آن مورد نظر است. افزون بر این، باید این مسئله را درک کرد که در غیاب چنین تبلیغاتی، اطلاعات زیاد پخش نمی</w:t>
      </w:r>
      <w:r w:rsidRPr="006A0C59">
        <w:rPr>
          <w:rFonts w:ascii="IRBadr" w:hAnsi="IRBadr" w:cs="IRBadr"/>
          <w:sz w:val="32"/>
          <w:szCs w:val="32"/>
          <w:rtl/>
        </w:rPr>
        <w:softHyphen/>
        <w:t>شوند. اطلاعات بی‌حرکت است مگر اینکه تبلیغ شود. همچنین، در این نوشتار از واژه</w:t>
      </w:r>
      <w:r w:rsidRPr="006A0C59">
        <w:rPr>
          <w:rFonts w:ascii="IRBadr" w:hAnsi="IRBadr" w:cs="IRBadr"/>
          <w:sz w:val="32"/>
          <w:szCs w:val="32"/>
          <w:rtl/>
        </w:rPr>
        <w:softHyphen/>
        <w:t>های تبلیغات</w:t>
      </w:r>
      <w:r w:rsidRPr="006A0C59">
        <w:rPr>
          <w:rStyle w:val="FootnoteReference"/>
          <w:rFonts w:ascii="IRBadr" w:hAnsi="IRBadr" w:cs="IRBadr"/>
          <w:sz w:val="32"/>
          <w:szCs w:val="32"/>
          <w:rtl/>
        </w:rPr>
        <w:footnoteReference w:id="2"/>
      </w:r>
      <w:r w:rsidRPr="006A0C59">
        <w:rPr>
          <w:rFonts w:ascii="IRBadr" w:hAnsi="IRBadr" w:cs="IRBadr"/>
          <w:sz w:val="32"/>
          <w:szCs w:val="32"/>
          <w:rtl/>
        </w:rPr>
        <w:t xml:space="preserve"> و آگهی</w:t>
      </w:r>
      <w:r w:rsidRPr="006A0C59">
        <w:rPr>
          <w:rStyle w:val="FootnoteReference"/>
          <w:rFonts w:ascii="IRBadr" w:hAnsi="IRBadr" w:cs="IRBadr"/>
          <w:sz w:val="32"/>
          <w:szCs w:val="32"/>
          <w:rtl/>
        </w:rPr>
        <w:footnoteReference w:id="3"/>
      </w:r>
      <w:r w:rsidRPr="006A0C59">
        <w:rPr>
          <w:rFonts w:ascii="IRBadr" w:hAnsi="IRBadr" w:cs="IRBadr"/>
          <w:sz w:val="32"/>
          <w:szCs w:val="32"/>
          <w:rtl/>
        </w:rPr>
        <w:t xml:space="preserve"> به یک معنا استفاده می‌شود، زیرا تمام آگهی</w:t>
      </w:r>
      <w:r w:rsidRPr="006A0C59">
        <w:rPr>
          <w:rFonts w:ascii="IRBadr" w:hAnsi="IRBadr" w:cs="IRBadr"/>
          <w:sz w:val="32"/>
          <w:szCs w:val="32"/>
          <w:rtl/>
        </w:rPr>
        <w:softHyphen/>
        <w:t>ها برای موفقیت ناگزیر از به کارگیری فنون تبلیغاتی هستند. با وجود این، عمده تأکید این مقاله بر روی تبلیغات نظام غرب علیه باورها و ارزش‌های کشورهای اسلامی است که از آن طریق به صورت کاملاً موذیانه به دنبال تغییر در ارزش‌ها و باورها می‌باشد به ویژه تأکید این تغییر بر روی نوجوانان و جوانان می‌باشد که در این نوشتار با موشکافی تاکتیک‌های به کارگیری شده مورد مداقه و تدقیق قرار می‌گیرد.</w:t>
      </w:r>
    </w:p>
    <w:p w:rsidR="006A0C59" w:rsidRPr="006A0C59" w:rsidRDefault="006A0C59" w:rsidP="006A0C59">
      <w:pPr>
        <w:widowControl w:val="0"/>
        <w:spacing w:line="480" w:lineRule="auto"/>
        <w:ind w:hanging="81"/>
        <w:jc w:val="both"/>
        <w:rPr>
          <w:rFonts w:ascii="IRBadr" w:hAnsi="IRBadr" w:cs="IRBadr"/>
          <w:sz w:val="32"/>
          <w:szCs w:val="32"/>
          <w:rtl/>
        </w:rPr>
      </w:pPr>
      <w:r w:rsidRPr="006A0C59">
        <w:rPr>
          <w:rFonts w:ascii="IRBadr" w:hAnsi="IRBadr" w:cs="IRBadr"/>
          <w:sz w:val="32"/>
          <w:szCs w:val="32"/>
          <w:rtl/>
        </w:rPr>
        <w:t>تبلیغات می</w:t>
      </w:r>
      <w:r w:rsidRPr="006A0C59">
        <w:rPr>
          <w:rFonts w:ascii="IRBadr" w:hAnsi="IRBadr" w:cs="IRBadr"/>
          <w:sz w:val="32"/>
          <w:szCs w:val="32"/>
          <w:rtl/>
        </w:rPr>
        <w:softHyphen/>
        <w:t>تواند به دو گروه تقسیم شود: خودجوش</w:t>
      </w:r>
      <w:r w:rsidRPr="006A0C59">
        <w:rPr>
          <w:rStyle w:val="FootnoteReference"/>
          <w:rFonts w:ascii="IRBadr" w:hAnsi="IRBadr" w:cs="IRBadr"/>
          <w:sz w:val="32"/>
          <w:szCs w:val="32"/>
          <w:rtl/>
        </w:rPr>
        <w:footnoteReference w:id="4"/>
      </w:r>
      <w:r w:rsidRPr="006A0C59">
        <w:rPr>
          <w:rFonts w:ascii="IRBadr" w:hAnsi="IRBadr" w:cs="IRBadr"/>
          <w:sz w:val="32"/>
          <w:szCs w:val="32"/>
          <w:rtl/>
        </w:rPr>
        <w:t xml:space="preserve"> و ساختگی</w:t>
      </w:r>
      <w:r w:rsidRPr="006A0C59">
        <w:rPr>
          <w:rStyle w:val="FootnoteReference"/>
          <w:rFonts w:ascii="IRBadr" w:hAnsi="IRBadr" w:cs="IRBadr"/>
          <w:sz w:val="32"/>
          <w:szCs w:val="32"/>
          <w:rtl/>
        </w:rPr>
        <w:footnoteReference w:id="5"/>
      </w:r>
      <w:r w:rsidRPr="006A0C59">
        <w:rPr>
          <w:rFonts w:ascii="IRBadr" w:hAnsi="IRBadr" w:cs="IRBadr"/>
          <w:sz w:val="32"/>
          <w:szCs w:val="32"/>
          <w:rtl/>
        </w:rPr>
        <w:t>. تبلیغات خودجوش در جایی یافت می</w:t>
      </w:r>
      <w:r w:rsidRPr="006A0C59">
        <w:rPr>
          <w:rFonts w:ascii="IRBadr" w:hAnsi="IRBadr" w:cs="IRBadr"/>
          <w:sz w:val="32"/>
          <w:szCs w:val="32"/>
          <w:rtl/>
        </w:rPr>
        <w:softHyphen/>
        <w:t>شود که مردم دربارة دستاوردها و موفقیت</w:t>
      </w:r>
      <w:r w:rsidRPr="006A0C59">
        <w:rPr>
          <w:rFonts w:ascii="IRBadr" w:hAnsi="IRBadr" w:cs="IRBadr"/>
          <w:sz w:val="32"/>
          <w:szCs w:val="32"/>
          <w:rtl/>
        </w:rPr>
        <w:softHyphen/>
        <w:t>هایشان با یکدیگر سخن بگویند. آنها نباید برای انتقال این تبلیغات به دیگران برنامه‌ریزی بلند یا کوتاه کنند. اصولاً تبلیغات خودجوش فاقد برنامه‌ریزی است. وقتی شخصی فارغ</w:t>
      </w:r>
      <w:r w:rsidRPr="006A0C59">
        <w:rPr>
          <w:rFonts w:ascii="IRBadr" w:hAnsi="IRBadr" w:cs="IRBadr"/>
          <w:sz w:val="32"/>
          <w:szCs w:val="32"/>
          <w:rtl/>
        </w:rPr>
        <w:softHyphen/>
        <w:t>التحصیل می‌شود، در قرعه</w:t>
      </w:r>
      <w:r w:rsidRPr="006A0C59">
        <w:rPr>
          <w:rFonts w:ascii="IRBadr" w:hAnsi="IRBadr" w:cs="IRBadr"/>
          <w:sz w:val="32"/>
          <w:szCs w:val="32"/>
          <w:rtl/>
        </w:rPr>
        <w:softHyphen/>
        <w:t>کشی جایزه می</w:t>
      </w:r>
      <w:r w:rsidRPr="006A0C59">
        <w:rPr>
          <w:rFonts w:ascii="IRBadr" w:hAnsi="IRBadr" w:cs="IRBadr"/>
          <w:sz w:val="32"/>
          <w:szCs w:val="32"/>
          <w:rtl/>
        </w:rPr>
        <w:softHyphen/>
        <w:t>برد، یا افتخار خاصی را کسب می</w:t>
      </w:r>
      <w:r w:rsidRPr="006A0C59">
        <w:rPr>
          <w:rFonts w:ascii="IRBadr" w:hAnsi="IRBadr" w:cs="IRBadr"/>
          <w:sz w:val="32"/>
          <w:szCs w:val="32"/>
          <w:rtl/>
        </w:rPr>
        <w:softHyphen/>
        <w:t>کند خود به خود و با اشتیاق به دیگران خبر می‌دهد. تبلیغ خودجوش، نوعی ارتباط خالی از غرض است که به افراط نمی</w:t>
      </w:r>
      <w:r w:rsidRPr="006A0C59">
        <w:rPr>
          <w:rFonts w:ascii="IRBadr" w:hAnsi="IRBadr" w:cs="IRBadr"/>
          <w:sz w:val="32"/>
          <w:szCs w:val="32"/>
          <w:rtl/>
        </w:rPr>
        <w:softHyphen/>
        <w:t>کشد. از سوی دیگر، تبلیغات ساختگی به دقت برنامه</w:t>
      </w:r>
      <w:r w:rsidRPr="006A0C59">
        <w:rPr>
          <w:rFonts w:ascii="IRBadr" w:hAnsi="IRBadr" w:cs="IRBadr"/>
          <w:sz w:val="32"/>
          <w:szCs w:val="32"/>
          <w:rtl/>
        </w:rPr>
        <w:softHyphen/>
        <w:t xml:space="preserve">ریزی شده و </w:t>
      </w:r>
      <w:r w:rsidRPr="006A0C59">
        <w:rPr>
          <w:rFonts w:ascii="IRBadr" w:hAnsi="IRBadr" w:cs="IRBadr"/>
          <w:sz w:val="32"/>
          <w:szCs w:val="32"/>
          <w:rtl/>
        </w:rPr>
        <w:lastRenderedPageBreak/>
        <w:t>اجرا می</w:t>
      </w:r>
      <w:r w:rsidRPr="006A0C59">
        <w:rPr>
          <w:rFonts w:ascii="IRBadr" w:hAnsi="IRBadr" w:cs="IRBadr"/>
          <w:sz w:val="32"/>
          <w:szCs w:val="32"/>
          <w:rtl/>
        </w:rPr>
        <w:softHyphen/>
        <w:t>شود. این‌گونه تبلیغات نیز دو نوع است: آموزنده</w:t>
      </w:r>
      <w:r w:rsidRPr="006A0C59">
        <w:rPr>
          <w:rStyle w:val="FootnoteReference"/>
          <w:rFonts w:ascii="IRBadr" w:hAnsi="IRBadr" w:cs="IRBadr"/>
          <w:sz w:val="32"/>
          <w:szCs w:val="32"/>
          <w:rtl/>
        </w:rPr>
        <w:footnoteReference w:id="6"/>
      </w:r>
      <w:r w:rsidRPr="006A0C59">
        <w:rPr>
          <w:rFonts w:ascii="IRBadr" w:hAnsi="IRBadr" w:cs="IRBadr"/>
          <w:sz w:val="32"/>
          <w:szCs w:val="32"/>
          <w:rtl/>
        </w:rPr>
        <w:t xml:space="preserve"> و فریب‌کارانه</w:t>
      </w:r>
      <w:r w:rsidRPr="006A0C59">
        <w:rPr>
          <w:rStyle w:val="FootnoteReference"/>
          <w:rFonts w:ascii="IRBadr" w:hAnsi="IRBadr" w:cs="IRBadr"/>
          <w:sz w:val="32"/>
          <w:szCs w:val="32"/>
          <w:rtl/>
        </w:rPr>
        <w:footnoteReference w:id="7"/>
      </w:r>
      <w:r w:rsidRPr="006A0C59">
        <w:rPr>
          <w:rFonts w:ascii="IRBadr" w:hAnsi="IRBadr" w:cs="IRBadr"/>
          <w:sz w:val="32"/>
          <w:szCs w:val="32"/>
          <w:rtl/>
        </w:rPr>
        <w:t>. تبلیغات آموزنده به دنبال انتقال وقایع به افرادی است که انتظار می</w:t>
      </w:r>
      <w:r w:rsidRPr="006A0C59">
        <w:rPr>
          <w:rFonts w:ascii="IRBadr" w:hAnsi="IRBadr" w:cs="IRBadr"/>
          <w:sz w:val="32"/>
          <w:szCs w:val="32"/>
          <w:rtl/>
        </w:rPr>
        <w:softHyphen/>
        <w:t>رود واکنشی مثبت داشته باشند. گاهی اوقات عنصری از اقناع نیز وجود دارد. در مقابل، تبلیغات فریب</w:t>
      </w:r>
      <w:r w:rsidRPr="006A0C59">
        <w:rPr>
          <w:rFonts w:ascii="IRBadr" w:hAnsi="IRBadr" w:cs="IRBadr"/>
          <w:sz w:val="32"/>
          <w:szCs w:val="32"/>
          <w:rtl/>
        </w:rPr>
        <w:softHyphen/>
        <w:t>کارانه به دنبال کنترل رفتار افراد به یک شیوه خاص است. این تبلیغات آنها را اغوا می</w:t>
      </w:r>
      <w:r w:rsidRPr="006A0C59">
        <w:rPr>
          <w:rFonts w:ascii="IRBadr" w:hAnsi="IRBadr" w:cs="IRBadr"/>
          <w:sz w:val="32"/>
          <w:szCs w:val="32"/>
          <w:rtl/>
        </w:rPr>
        <w:softHyphen/>
        <w:t>کند تا کالا و اندیشه خاصی را بخرند، به شیوه‌ای</w:t>
      </w:r>
      <w:r w:rsidRPr="006A0C59">
        <w:rPr>
          <w:rFonts w:ascii="IRBadr" w:hAnsi="IRBadr" w:cs="IRBadr"/>
          <w:sz w:val="32"/>
          <w:szCs w:val="32"/>
          <w:rtl/>
        </w:rPr>
        <w:softHyphen/>
        <w:t xml:space="preserve"> خاص فکر کنند، عمل کنند و لباس بپوشند و حتی آنها را ترغیب می</w:t>
      </w:r>
      <w:r w:rsidRPr="006A0C59">
        <w:rPr>
          <w:rFonts w:ascii="IRBadr" w:hAnsi="IRBadr" w:cs="IRBadr"/>
          <w:sz w:val="32"/>
          <w:szCs w:val="32"/>
          <w:rtl/>
        </w:rPr>
        <w:softHyphen/>
        <w:t>کند تا به جنبش</w:t>
      </w:r>
      <w:r w:rsidRPr="006A0C59">
        <w:rPr>
          <w:rFonts w:ascii="IRBadr" w:hAnsi="IRBadr" w:cs="IRBadr"/>
          <w:sz w:val="32"/>
          <w:szCs w:val="32"/>
          <w:rtl/>
        </w:rPr>
        <w:softHyphen/>
        <w:t>های خاصی بپیوندند. تبلیغات روزنامه</w:t>
      </w:r>
      <w:r w:rsidRPr="006A0C59">
        <w:rPr>
          <w:rFonts w:ascii="IRBadr" w:hAnsi="IRBadr" w:cs="IRBadr"/>
          <w:sz w:val="32"/>
          <w:szCs w:val="32"/>
          <w:rtl/>
        </w:rPr>
        <w:softHyphen/>
        <w:t>ها نمونه</w:t>
      </w:r>
      <w:r w:rsidRPr="006A0C59">
        <w:rPr>
          <w:rFonts w:ascii="IRBadr" w:hAnsi="IRBadr" w:cs="IRBadr"/>
          <w:sz w:val="32"/>
          <w:szCs w:val="32"/>
          <w:rtl/>
        </w:rPr>
        <w:softHyphen/>
        <w:t>ای از تبلیغات آموزنده</w:t>
      </w:r>
      <w:r w:rsidRPr="006A0C59">
        <w:rPr>
          <w:rStyle w:val="FootnoteReference"/>
          <w:rFonts w:ascii="IRBadr" w:hAnsi="IRBadr" w:cs="IRBadr"/>
          <w:sz w:val="32"/>
          <w:szCs w:val="32"/>
          <w:rtl/>
        </w:rPr>
        <w:footnoteReference w:id="8"/>
      </w:r>
      <w:r w:rsidRPr="006A0C59">
        <w:rPr>
          <w:rFonts w:ascii="IRBadr" w:hAnsi="IRBadr" w:cs="IRBadr"/>
          <w:sz w:val="32"/>
          <w:szCs w:val="32"/>
          <w:rtl/>
        </w:rPr>
        <w:t xml:space="preserve"> است. به طور معمول هدف این تبلیغات آن است که به مردم دربارة کالاها، خدمات، کاریابی و غیره اطلاعاتی ارائه دهد. آنها می‌توانند به مثابة تبلیغات آموزشی و اطلاعاتی</w:t>
      </w:r>
      <w:r w:rsidRPr="006A0C59">
        <w:rPr>
          <w:rStyle w:val="FootnoteReference"/>
          <w:rFonts w:ascii="IRBadr" w:hAnsi="IRBadr" w:cs="IRBadr"/>
          <w:sz w:val="32"/>
          <w:szCs w:val="32"/>
          <w:rtl/>
        </w:rPr>
        <w:footnoteReference w:id="9"/>
      </w:r>
      <w:r w:rsidRPr="006A0C59">
        <w:rPr>
          <w:rFonts w:ascii="IRBadr" w:hAnsi="IRBadr" w:cs="IRBadr"/>
          <w:sz w:val="32"/>
          <w:szCs w:val="32"/>
          <w:rtl/>
        </w:rPr>
        <w:t xml:space="preserve"> در نظر گرفته شوند (شهیدی‌نیا، 1372).</w:t>
      </w:r>
    </w:p>
    <w:p w:rsidR="006A0C59" w:rsidRPr="006A0C59" w:rsidRDefault="006A0C59" w:rsidP="006A0C59">
      <w:pPr>
        <w:widowControl w:val="0"/>
        <w:spacing w:line="480" w:lineRule="auto"/>
        <w:ind w:hanging="81"/>
        <w:jc w:val="both"/>
        <w:rPr>
          <w:rFonts w:ascii="IRBadr" w:hAnsi="IRBadr" w:cs="IRBadr"/>
          <w:sz w:val="32"/>
          <w:szCs w:val="32"/>
          <w:rtl/>
        </w:rPr>
      </w:pPr>
      <w:r w:rsidRPr="006A0C59">
        <w:rPr>
          <w:rFonts w:ascii="IRBadr" w:hAnsi="IRBadr" w:cs="IRBadr"/>
          <w:sz w:val="32"/>
          <w:szCs w:val="32"/>
          <w:rtl/>
        </w:rPr>
        <w:t>از سوی دیگر، تبلیغاتی که مردم را به سیگار کشیدن، مصرف مواد غیرضروری و خرید کالایی که چندان لازم نیست تشویق می</w:t>
      </w:r>
      <w:r w:rsidRPr="006A0C59">
        <w:rPr>
          <w:rFonts w:ascii="IRBadr" w:hAnsi="IRBadr" w:cs="IRBadr"/>
          <w:sz w:val="32"/>
          <w:szCs w:val="32"/>
          <w:rtl/>
        </w:rPr>
        <w:softHyphen/>
        <w:t>کنند و آنها را به برندی خاص علاقه‌مند می‌سازند در مقولة</w:t>
      </w:r>
      <w:r w:rsidRPr="006A0C59">
        <w:rPr>
          <w:rFonts w:ascii="IRBadr" w:hAnsi="IRBadr" w:cs="IRBadr"/>
          <w:sz w:val="32"/>
          <w:szCs w:val="32"/>
          <w:rtl/>
        </w:rPr>
        <w:softHyphen/>
        <w:t xml:space="preserve"> تبلیغات تغییردهندة ذهن قرار می</w:t>
      </w:r>
      <w:r w:rsidRPr="006A0C59">
        <w:rPr>
          <w:rFonts w:ascii="IRBadr" w:hAnsi="IRBadr" w:cs="IRBadr"/>
          <w:sz w:val="32"/>
          <w:szCs w:val="32"/>
          <w:rtl/>
        </w:rPr>
        <w:softHyphen/>
        <w:t>گیرند. احزاب سیاسی، گروه</w:t>
      </w:r>
      <w:r w:rsidRPr="006A0C59">
        <w:rPr>
          <w:rFonts w:ascii="IRBadr" w:hAnsi="IRBadr" w:cs="IRBadr"/>
          <w:sz w:val="32"/>
          <w:szCs w:val="32"/>
          <w:rtl/>
        </w:rPr>
        <w:softHyphen/>
        <w:t>های لابی‌گر، فرقه</w:t>
      </w:r>
      <w:r w:rsidRPr="006A0C59">
        <w:rPr>
          <w:rFonts w:ascii="IRBadr" w:hAnsi="IRBadr" w:cs="IRBadr"/>
          <w:sz w:val="32"/>
          <w:szCs w:val="32"/>
          <w:rtl/>
        </w:rPr>
        <w:softHyphen/>
        <w:t>های غیربومی و جنبش</w:t>
      </w:r>
      <w:r w:rsidRPr="006A0C59">
        <w:rPr>
          <w:rFonts w:ascii="IRBadr" w:hAnsi="IRBadr" w:cs="IRBadr"/>
          <w:sz w:val="32"/>
          <w:szCs w:val="32"/>
          <w:rtl/>
        </w:rPr>
        <w:softHyphen/>
        <w:t>های مختلف نیز همین فنون را به کار می</w:t>
      </w:r>
      <w:r w:rsidRPr="006A0C59">
        <w:rPr>
          <w:rFonts w:ascii="IRBadr" w:hAnsi="IRBadr" w:cs="IRBadr"/>
          <w:sz w:val="32"/>
          <w:szCs w:val="32"/>
          <w:rtl/>
        </w:rPr>
        <w:softHyphen/>
        <w:t>گیرند. طبقه</w:t>
      </w:r>
      <w:r w:rsidRPr="006A0C59">
        <w:rPr>
          <w:rFonts w:ascii="IRBadr" w:hAnsi="IRBadr" w:cs="IRBadr"/>
          <w:sz w:val="32"/>
          <w:szCs w:val="32"/>
          <w:rtl/>
        </w:rPr>
        <w:softHyphen/>
        <w:t>بندی یاد شده باید به عنوان یک دستورالعمل عینی مورد استفاده قرار گیرد اما باید در هنگام تحلیل تبلیغات و آگهی</w:t>
      </w:r>
      <w:r w:rsidRPr="006A0C59">
        <w:rPr>
          <w:rFonts w:ascii="IRBadr" w:hAnsi="IRBadr" w:cs="IRBadr"/>
          <w:sz w:val="32"/>
          <w:szCs w:val="32"/>
          <w:rtl/>
        </w:rPr>
        <w:softHyphen/>
        <w:t>ها مراقب بود. اغلب آنها به وضوح در چارچوب یکی از این دو مقوله قرار می</w:t>
      </w:r>
      <w:r w:rsidRPr="006A0C59">
        <w:rPr>
          <w:rFonts w:ascii="IRBadr" w:hAnsi="IRBadr" w:cs="IRBadr"/>
          <w:sz w:val="32"/>
          <w:szCs w:val="32"/>
          <w:rtl/>
        </w:rPr>
        <w:softHyphen/>
        <w:t>گیرند اما برخی از آنها حاوی عناصر هر دو مقوله هستند. برخی از تبلیغات آموزشی نیز از فنون تغییر ذهن استفاده می</w:t>
      </w:r>
      <w:r w:rsidRPr="006A0C59">
        <w:rPr>
          <w:rFonts w:ascii="IRBadr" w:hAnsi="IRBadr" w:cs="IRBadr"/>
          <w:sz w:val="32"/>
          <w:szCs w:val="32"/>
          <w:rtl/>
        </w:rPr>
        <w:softHyphen/>
        <w:t>کنند در حالی که تبلیغات فریب</w:t>
      </w:r>
      <w:r w:rsidRPr="006A0C59">
        <w:rPr>
          <w:rFonts w:ascii="IRBadr" w:hAnsi="IRBadr" w:cs="IRBadr"/>
          <w:sz w:val="32"/>
          <w:szCs w:val="32"/>
          <w:rtl/>
        </w:rPr>
        <w:softHyphen/>
        <w:t xml:space="preserve">کارانه‌ای هم یافت </w:t>
      </w:r>
      <w:r w:rsidRPr="006A0C59">
        <w:rPr>
          <w:rFonts w:ascii="IRBadr" w:hAnsi="IRBadr" w:cs="IRBadr"/>
          <w:sz w:val="32"/>
          <w:szCs w:val="32"/>
          <w:rtl/>
        </w:rPr>
        <w:lastRenderedPageBreak/>
        <w:t>می‌شوند که حاوی مطالب آموزشی یا واقعی هستند. چیزی که برای دریافت</w:t>
      </w:r>
      <w:r w:rsidRPr="006A0C59">
        <w:rPr>
          <w:rFonts w:ascii="IRBadr" w:hAnsi="IRBadr" w:cs="IRBadr"/>
          <w:sz w:val="32"/>
          <w:szCs w:val="32"/>
          <w:rtl/>
        </w:rPr>
        <w:softHyphen/>
        <w:t>کننده مهم است توانایی وی برای تغییر و تمایز واقعیت از دروغ است.</w:t>
      </w:r>
    </w:p>
    <w:p w:rsidR="006A0C59" w:rsidRPr="006A0C59" w:rsidRDefault="006A0C59" w:rsidP="006A0C59">
      <w:pPr>
        <w:widowControl w:val="0"/>
        <w:spacing w:line="480" w:lineRule="auto"/>
        <w:ind w:hanging="81"/>
        <w:jc w:val="both"/>
        <w:rPr>
          <w:rFonts w:ascii="IRBadr" w:hAnsi="IRBadr" w:cs="IRBadr"/>
          <w:b/>
          <w:bCs/>
          <w:sz w:val="32"/>
          <w:szCs w:val="32"/>
          <w:rtl/>
        </w:rPr>
      </w:pPr>
      <w:r w:rsidRPr="006A0C59">
        <w:rPr>
          <w:rFonts w:ascii="IRBadr" w:hAnsi="IRBadr" w:cs="IRBadr"/>
          <w:b/>
          <w:bCs/>
          <w:sz w:val="32"/>
          <w:szCs w:val="32"/>
          <w:rtl/>
        </w:rPr>
        <w:t>تبلیغات فریب</w:t>
      </w:r>
      <w:r w:rsidRPr="006A0C59">
        <w:rPr>
          <w:rFonts w:ascii="IRBadr" w:hAnsi="IRBadr" w:cs="IRBadr"/>
          <w:b/>
          <w:bCs/>
          <w:sz w:val="32"/>
          <w:szCs w:val="32"/>
          <w:rtl/>
        </w:rPr>
        <w:softHyphen/>
        <w:t>کارانه</w:t>
      </w:r>
    </w:p>
    <w:p w:rsidR="006A0C59" w:rsidRPr="006A0C59" w:rsidRDefault="006A0C59" w:rsidP="006A0C59">
      <w:pPr>
        <w:widowControl w:val="0"/>
        <w:spacing w:line="480" w:lineRule="auto"/>
        <w:ind w:hanging="81"/>
        <w:jc w:val="both"/>
        <w:rPr>
          <w:rFonts w:ascii="IRBadr" w:hAnsi="IRBadr" w:cs="IRBadr"/>
          <w:sz w:val="32"/>
          <w:szCs w:val="32"/>
          <w:rtl/>
        </w:rPr>
      </w:pPr>
      <w:r w:rsidRPr="006A0C59">
        <w:rPr>
          <w:rFonts w:ascii="IRBadr" w:hAnsi="IRBadr" w:cs="IRBadr"/>
          <w:b/>
          <w:bCs/>
          <w:sz w:val="32"/>
          <w:szCs w:val="32"/>
          <w:rtl/>
        </w:rPr>
        <w:t xml:space="preserve"> </w:t>
      </w:r>
      <w:r w:rsidRPr="006A0C59">
        <w:rPr>
          <w:rFonts w:ascii="IRBadr" w:hAnsi="IRBadr" w:cs="IRBadr"/>
          <w:sz w:val="32"/>
          <w:szCs w:val="32"/>
          <w:rtl/>
        </w:rPr>
        <w:t>تبلیغ</w:t>
      </w:r>
      <w:r w:rsidRPr="006A0C59">
        <w:rPr>
          <w:rFonts w:ascii="IRBadr" w:hAnsi="IRBadr" w:cs="IRBadr"/>
          <w:sz w:val="32"/>
          <w:szCs w:val="32"/>
          <w:rtl/>
        </w:rPr>
        <w:softHyphen/>
        <w:t>کنندگانی که به این گروه</w:t>
      </w:r>
      <w:r w:rsidRPr="006A0C59">
        <w:rPr>
          <w:rFonts w:ascii="IRBadr" w:hAnsi="IRBadr" w:cs="IRBadr"/>
          <w:b/>
          <w:bCs/>
          <w:sz w:val="32"/>
          <w:szCs w:val="32"/>
          <w:rtl/>
        </w:rPr>
        <w:t xml:space="preserve"> </w:t>
      </w:r>
      <w:r w:rsidRPr="006A0C59">
        <w:rPr>
          <w:rFonts w:ascii="IRBadr" w:hAnsi="IRBadr" w:cs="IRBadr"/>
          <w:sz w:val="32"/>
          <w:szCs w:val="32"/>
          <w:rtl/>
        </w:rPr>
        <w:t>تعلق دارند مجموعه</w:t>
      </w:r>
      <w:r w:rsidRPr="006A0C59">
        <w:rPr>
          <w:rFonts w:ascii="IRBadr" w:hAnsi="IRBadr" w:cs="IRBadr"/>
          <w:sz w:val="32"/>
          <w:szCs w:val="32"/>
          <w:rtl/>
        </w:rPr>
        <w:softHyphen/>
        <w:t xml:space="preserve"> گسترده</w:t>
      </w:r>
      <w:r w:rsidRPr="006A0C59">
        <w:rPr>
          <w:rFonts w:ascii="IRBadr" w:hAnsi="IRBadr" w:cs="IRBadr"/>
          <w:sz w:val="32"/>
          <w:szCs w:val="32"/>
          <w:rtl/>
        </w:rPr>
        <w:softHyphen/>
        <w:t>ای از فنون امتحان</w:t>
      </w:r>
      <w:r w:rsidRPr="006A0C59">
        <w:rPr>
          <w:rFonts w:ascii="IRBadr" w:hAnsi="IRBadr" w:cs="IRBadr"/>
          <w:sz w:val="32"/>
          <w:szCs w:val="32"/>
          <w:rtl/>
        </w:rPr>
        <w:softHyphen/>
        <w:t xml:space="preserve"> شده و اثبات</w:t>
      </w:r>
      <w:r w:rsidRPr="006A0C59">
        <w:rPr>
          <w:rFonts w:ascii="IRBadr" w:hAnsi="IRBadr" w:cs="IRBadr"/>
          <w:sz w:val="32"/>
          <w:szCs w:val="32"/>
          <w:rtl/>
        </w:rPr>
        <w:softHyphen/>
        <w:t xml:space="preserve"> شده را به کار می‌گیرند. این فنون به آرمان</w:t>
      </w:r>
      <w:r w:rsidRPr="006A0C59">
        <w:rPr>
          <w:rFonts w:ascii="IRBadr" w:hAnsi="IRBadr" w:cs="IRBadr"/>
          <w:sz w:val="32"/>
          <w:szCs w:val="32"/>
          <w:rtl/>
        </w:rPr>
        <w:softHyphen/>
        <w:t>ها، مشکلات، آرزوها و نیازهای بی</w:t>
      </w:r>
      <w:r w:rsidRPr="006A0C59">
        <w:rPr>
          <w:rFonts w:ascii="IRBadr" w:hAnsi="IRBadr" w:cs="IRBadr"/>
          <w:sz w:val="32"/>
          <w:szCs w:val="32"/>
          <w:rtl/>
        </w:rPr>
        <w:softHyphen/>
        <w:t>پایان انسانی بستگی دارد که اغلب دارای محتوای عمیق احساسی هستند. این نوع احساسات انسانی نهایت ندارد و ارائه</w:t>
      </w:r>
      <w:r w:rsidRPr="006A0C59">
        <w:rPr>
          <w:rFonts w:ascii="IRBadr" w:hAnsi="IRBadr" w:cs="IRBadr"/>
          <w:sz w:val="32"/>
          <w:szCs w:val="32"/>
          <w:rtl/>
        </w:rPr>
        <w:softHyphen/>
        <w:t xml:space="preserve"> فهرستی جامع از آنها ناممکن است. با وجود این، اغلب روش</w:t>
      </w:r>
      <w:r w:rsidRPr="006A0C59">
        <w:rPr>
          <w:rFonts w:ascii="IRBadr" w:hAnsi="IRBadr" w:cs="IRBadr"/>
          <w:sz w:val="32"/>
          <w:szCs w:val="32"/>
          <w:rtl/>
        </w:rPr>
        <w:softHyphen/>
        <w:t>ها می</w:t>
      </w:r>
      <w:r w:rsidRPr="006A0C59">
        <w:rPr>
          <w:rFonts w:ascii="IRBadr" w:hAnsi="IRBadr" w:cs="IRBadr"/>
          <w:sz w:val="32"/>
          <w:szCs w:val="32"/>
          <w:rtl/>
        </w:rPr>
        <w:softHyphen/>
        <w:t>توانند در چندین مقوله جای گیرند. در این مقاله به هشت مورد از آنها اشاره می‌شود، با این تضمین که این امر بینشی مفید را در این موضوع عرضه کند و در کشف سایر فنون و تحلیل منطقی آنها به کار آید.</w:t>
      </w:r>
    </w:p>
    <w:p w:rsidR="006A0C59" w:rsidRDefault="006A0C59" w:rsidP="006A0C59">
      <w:pPr>
        <w:widowControl w:val="0"/>
        <w:spacing w:line="480" w:lineRule="auto"/>
        <w:ind w:hanging="81"/>
        <w:jc w:val="both"/>
        <w:rPr>
          <w:rFonts w:ascii="IRBadr" w:hAnsi="IRBadr" w:cs="IRBadr"/>
          <w:sz w:val="32"/>
          <w:szCs w:val="32"/>
          <w:rtl/>
        </w:rPr>
      </w:pPr>
      <w:r w:rsidRPr="006A0C59">
        <w:rPr>
          <w:rFonts w:ascii="IRBadr" w:hAnsi="IRBadr" w:cs="IRBadr"/>
          <w:sz w:val="32"/>
          <w:szCs w:val="32"/>
          <w:rtl/>
        </w:rPr>
        <w:t>در ابتدا ممکن است به نظر برسد که این فنون فایدة خاصی نداشته باشند اما در پایان به یقین نسبت به شیوه‌ای که فنون تبلیغاتی در جنگ نرم می</w:t>
      </w:r>
      <w:r w:rsidRPr="006A0C59">
        <w:rPr>
          <w:rFonts w:ascii="IRBadr" w:hAnsi="IRBadr" w:cs="IRBadr"/>
          <w:sz w:val="32"/>
          <w:szCs w:val="32"/>
          <w:rtl/>
        </w:rPr>
        <w:softHyphen/>
        <w:t>توانند برای فریب مردم مورد استفاده قرار دهند آگاهی به دست می‌دهند. در واقع، این فنون به طور موفقیت‌آمیزی برای تغییر الگوی فکری و رفتار کل</w:t>
      </w:r>
      <w:r w:rsidRPr="006A0C59">
        <w:rPr>
          <w:rFonts w:ascii="IRBadr" w:hAnsi="IRBadr" w:cs="IRBadr"/>
          <w:sz w:val="32"/>
          <w:szCs w:val="32"/>
          <w:rtl/>
        </w:rPr>
        <w:softHyphen/>
        <w:t xml:space="preserve"> نسل</w:t>
      </w:r>
      <w:r w:rsidRPr="006A0C59">
        <w:rPr>
          <w:rFonts w:ascii="IRBadr" w:hAnsi="IRBadr" w:cs="IRBadr"/>
          <w:sz w:val="32"/>
          <w:szCs w:val="32"/>
          <w:rtl/>
        </w:rPr>
        <w:softHyphen/>
        <w:t>ها و حتی ملت</w:t>
      </w:r>
      <w:r w:rsidRPr="006A0C59">
        <w:rPr>
          <w:rFonts w:ascii="IRBadr" w:hAnsi="IRBadr" w:cs="IRBadr"/>
          <w:sz w:val="32"/>
          <w:szCs w:val="32"/>
          <w:rtl/>
        </w:rPr>
        <w:softHyphen/>
        <w:t>ها مورد استفاده قرار می‌گیرند. در ادامه، مقاله دربارة فنون اصلی متداول در حمله به ایمان و اعتقادات دینی و نیز چگونگی مقابله با آن مطالبی عرضه خواهد کرد.</w:t>
      </w:r>
    </w:p>
    <w:p w:rsidR="006A0C59" w:rsidRPr="00565476" w:rsidRDefault="00565476" w:rsidP="00565476">
      <w:pPr>
        <w:widowControl w:val="0"/>
        <w:bidi w:val="0"/>
        <w:spacing w:line="480" w:lineRule="auto"/>
        <w:ind w:hanging="81"/>
        <w:jc w:val="both"/>
        <w:rPr>
          <w:rFonts w:ascii="IRBadr" w:hAnsi="IRBadr" w:cs="IRBadr"/>
          <w:b/>
          <w:bCs/>
          <w:sz w:val="32"/>
          <w:szCs w:val="32"/>
          <w:rtl/>
        </w:rPr>
      </w:pPr>
      <w:r w:rsidRPr="00565476">
        <w:rPr>
          <w:rFonts w:ascii="IRBadr" w:hAnsi="IRBadr" w:cs="IRBadr"/>
          <w:b/>
          <w:bCs/>
          <w:sz w:val="32"/>
          <w:szCs w:val="32"/>
        </w:rPr>
        <w:t>https://b2n.ir/092548</w:t>
      </w:r>
      <w:bookmarkStart w:id="0" w:name="_GoBack"/>
      <w:bookmarkEnd w:id="0"/>
    </w:p>
    <w:sectPr w:rsidR="006A0C59" w:rsidRPr="00565476" w:rsidSect="00255FAD">
      <w:headerReference w:type="default" r:id="rId14"/>
      <w:footerReference w:type="default" r:id="rId15"/>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8FF" w:rsidRDefault="007C68FF" w:rsidP="00982C20">
      <w:pPr>
        <w:spacing w:after="0" w:line="240" w:lineRule="auto"/>
      </w:pPr>
      <w:r>
        <w:separator/>
      </w:r>
    </w:p>
  </w:endnote>
  <w:endnote w:type="continuationSeparator" w:id="0">
    <w:p w:rsidR="007C68FF" w:rsidRDefault="007C68F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0EFF" w:usb1="40007843" w:usb2="00000001" w:usb3="00000000" w:csb0="000001BF" w:csb1="00000000"/>
  </w:font>
  <w:font w:name="TTE172E500t00">
    <w:altName w:val="Times New Roman"/>
    <w:panose1 w:val="00000000000000000000"/>
    <w:charset w:val="00"/>
    <w:family w:val="auto"/>
    <w:notTrueType/>
    <w:pitch w:val="default"/>
    <w:sig w:usb0="00000003" w:usb1="00000000" w:usb2="00000000" w:usb3="00000000" w:csb0="0000000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8FF" w:rsidRDefault="007C68FF" w:rsidP="00982C20">
      <w:pPr>
        <w:spacing w:after="0" w:line="240" w:lineRule="auto"/>
      </w:pPr>
      <w:r>
        <w:separator/>
      </w:r>
    </w:p>
  </w:footnote>
  <w:footnote w:type="continuationSeparator" w:id="0">
    <w:p w:rsidR="007C68FF" w:rsidRDefault="007C68FF" w:rsidP="00982C20">
      <w:pPr>
        <w:spacing w:after="0" w:line="240" w:lineRule="auto"/>
      </w:pPr>
      <w:r>
        <w:continuationSeparator/>
      </w:r>
    </w:p>
  </w:footnote>
  <w:footnote w:id="1">
    <w:p w:rsidR="006A0C59" w:rsidRPr="006A0C59" w:rsidRDefault="006A0C59" w:rsidP="006A0C59">
      <w:pPr>
        <w:pStyle w:val="FootnoteText"/>
        <w:rPr>
          <w:rFonts w:ascii="IRBadr" w:hAnsi="IRBadr" w:cs="IRBadr"/>
          <w:rtl/>
        </w:rPr>
      </w:pPr>
      <w:r>
        <w:rPr>
          <w:rFonts w:ascii="IRBadr" w:hAnsi="IRBadr" w:cs="IRBadr"/>
          <w:sz w:val="22"/>
          <w:szCs w:val="22"/>
        </w:rPr>
        <w:t>-</w:t>
      </w:r>
      <w:r w:rsidRPr="006A0C59">
        <w:rPr>
          <w:rStyle w:val="FootnoteReference"/>
          <w:rFonts w:ascii="IRBadr" w:hAnsi="IRBadr" w:cs="IRBadr"/>
          <w:sz w:val="22"/>
          <w:szCs w:val="22"/>
          <w:vertAlign w:val="baseline"/>
        </w:rPr>
        <w:footnoteRef/>
      </w:r>
      <w:r w:rsidRPr="006A0C59">
        <w:rPr>
          <w:rFonts w:ascii="IRBadr" w:hAnsi="IRBadr" w:cs="IRBadr"/>
          <w:sz w:val="22"/>
          <w:szCs w:val="22"/>
        </w:rPr>
        <w:t xml:space="preserve"> </w:t>
      </w:r>
      <w:r w:rsidRPr="006A0C59">
        <w:rPr>
          <w:rFonts w:ascii="IRBadr" w:hAnsi="IRBadr" w:cs="IRBadr"/>
          <w:sz w:val="22"/>
          <w:szCs w:val="22"/>
          <w:rtl/>
        </w:rPr>
        <w:t xml:space="preserve"> عضو هیئت علمی دانشگاه امام حسین (ع)</w:t>
      </w:r>
    </w:p>
  </w:footnote>
  <w:footnote w:id="2">
    <w:p w:rsidR="006A0C59" w:rsidRPr="006A0C59" w:rsidRDefault="006A0C59" w:rsidP="006A0C59">
      <w:pPr>
        <w:pStyle w:val="FootnoteText"/>
        <w:bidi w:val="0"/>
        <w:rPr>
          <w:rFonts w:cs="Courier New"/>
        </w:rPr>
      </w:pPr>
      <w:r w:rsidRPr="006A0C59">
        <w:rPr>
          <w:rStyle w:val="FootnoteReference"/>
          <w:vertAlign w:val="baseline"/>
        </w:rPr>
        <w:footnoteRef/>
      </w:r>
      <w:r>
        <w:t>-</w:t>
      </w:r>
      <w:r w:rsidRPr="006A0C59">
        <w:t xml:space="preserve"> propaganda</w:t>
      </w:r>
    </w:p>
  </w:footnote>
  <w:footnote w:id="3">
    <w:p w:rsidR="006A0C59" w:rsidRPr="006A0C59" w:rsidRDefault="006A0C59" w:rsidP="006A0C59">
      <w:pPr>
        <w:pStyle w:val="FootnoteText"/>
        <w:bidi w:val="0"/>
        <w:rPr>
          <w:rFonts w:cs="Courier New"/>
        </w:rPr>
      </w:pPr>
      <w:r w:rsidRPr="006A0C59">
        <w:rPr>
          <w:rStyle w:val="FootnoteReference"/>
          <w:vertAlign w:val="baseline"/>
        </w:rPr>
        <w:footnoteRef/>
      </w:r>
      <w:r>
        <w:t>-</w:t>
      </w:r>
      <w:r w:rsidRPr="006A0C59">
        <w:t xml:space="preserve"> advertisement</w:t>
      </w:r>
    </w:p>
  </w:footnote>
  <w:footnote w:id="4">
    <w:p w:rsidR="006A0C59" w:rsidRPr="006A0C59" w:rsidRDefault="006A0C59" w:rsidP="006A0C59">
      <w:pPr>
        <w:pStyle w:val="FootnoteText"/>
        <w:bidi w:val="0"/>
        <w:rPr>
          <w:rFonts w:cs="Courier New"/>
        </w:rPr>
      </w:pPr>
      <w:r w:rsidRPr="006A0C59">
        <w:rPr>
          <w:rStyle w:val="FootnoteReference"/>
          <w:vertAlign w:val="baseline"/>
        </w:rPr>
        <w:footnoteRef/>
      </w:r>
      <w:r>
        <w:t>-</w:t>
      </w:r>
      <w:r w:rsidRPr="006A0C59">
        <w:t xml:space="preserve"> spontaneous</w:t>
      </w:r>
    </w:p>
  </w:footnote>
  <w:footnote w:id="5">
    <w:p w:rsidR="006A0C59" w:rsidRPr="000C3578" w:rsidRDefault="006A0C59" w:rsidP="006A0C59">
      <w:pPr>
        <w:pStyle w:val="FootnoteText"/>
        <w:bidi w:val="0"/>
        <w:rPr>
          <w:rFonts w:cs="Courier New"/>
        </w:rPr>
      </w:pPr>
      <w:r w:rsidRPr="006A0C59">
        <w:rPr>
          <w:rStyle w:val="FootnoteReference"/>
          <w:vertAlign w:val="baseline"/>
        </w:rPr>
        <w:footnoteRef/>
      </w:r>
      <w:r>
        <w:t>-</w:t>
      </w:r>
      <w:r w:rsidRPr="006A0C59">
        <w:t xml:space="preserve"> contrived</w:t>
      </w:r>
    </w:p>
  </w:footnote>
  <w:footnote w:id="6">
    <w:p w:rsidR="006A0C59" w:rsidRPr="006A0C59" w:rsidRDefault="006A0C59" w:rsidP="006A0C59">
      <w:pPr>
        <w:pStyle w:val="FootnoteText"/>
        <w:bidi w:val="0"/>
        <w:rPr>
          <w:rFonts w:cs="Courier New"/>
        </w:rPr>
      </w:pPr>
      <w:r w:rsidRPr="006A0C59">
        <w:rPr>
          <w:rStyle w:val="FootnoteReference"/>
          <w:vertAlign w:val="baseline"/>
        </w:rPr>
        <w:footnoteRef/>
      </w:r>
      <w:r>
        <w:t>-</w:t>
      </w:r>
      <w:r w:rsidRPr="006A0C59">
        <w:t xml:space="preserve"> </w:t>
      </w:r>
      <w:r w:rsidRPr="006A0C59">
        <w:rPr>
          <w:rFonts w:ascii="TTE172E500t00" w:hAnsi="TTE172E500t00" w:cs="B Nazanin"/>
        </w:rPr>
        <w:t>informative</w:t>
      </w:r>
    </w:p>
  </w:footnote>
  <w:footnote w:id="7">
    <w:p w:rsidR="006A0C59" w:rsidRPr="006A0C59" w:rsidRDefault="006A0C59" w:rsidP="006A0C59">
      <w:pPr>
        <w:pStyle w:val="FootnoteText"/>
        <w:bidi w:val="0"/>
        <w:rPr>
          <w:rFonts w:cs="Courier New"/>
        </w:rPr>
      </w:pPr>
      <w:r w:rsidRPr="006A0C59">
        <w:rPr>
          <w:rStyle w:val="FootnoteReference"/>
          <w:vertAlign w:val="baseline"/>
        </w:rPr>
        <w:footnoteRef/>
      </w:r>
      <w:r>
        <w:t>-</w:t>
      </w:r>
      <w:r w:rsidRPr="006A0C59">
        <w:t xml:space="preserve"> manipulative</w:t>
      </w:r>
    </w:p>
  </w:footnote>
  <w:footnote w:id="8">
    <w:p w:rsidR="006A0C59" w:rsidRPr="006A0C59" w:rsidRDefault="006A0C59" w:rsidP="006A0C59">
      <w:pPr>
        <w:pStyle w:val="FootnoteText"/>
        <w:bidi w:val="0"/>
        <w:rPr>
          <w:rFonts w:cs="Courier New"/>
        </w:rPr>
      </w:pPr>
      <w:r w:rsidRPr="006A0C59">
        <w:rPr>
          <w:rStyle w:val="FootnoteReference"/>
          <w:vertAlign w:val="baseline"/>
        </w:rPr>
        <w:footnoteRef/>
      </w:r>
      <w:r>
        <w:t>-</w:t>
      </w:r>
      <w:r w:rsidRPr="006A0C59">
        <w:t xml:space="preserve"> educative</w:t>
      </w:r>
    </w:p>
  </w:footnote>
  <w:footnote w:id="9">
    <w:p w:rsidR="006A0C59" w:rsidRPr="0011088B" w:rsidRDefault="006A0C59" w:rsidP="006A0C59">
      <w:pPr>
        <w:pStyle w:val="FootnoteText"/>
        <w:bidi w:val="0"/>
        <w:rPr>
          <w:rFonts w:cs="Courier New"/>
        </w:rPr>
      </w:pPr>
      <w:r w:rsidRPr="006A0C59">
        <w:rPr>
          <w:rStyle w:val="FootnoteReference"/>
          <w:vertAlign w:val="baseline"/>
        </w:rPr>
        <w:footnoteRef/>
      </w:r>
      <w:r>
        <w:t>-</w:t>
      </w:r>
      <w:r w:rsidRPr="006A0C59">
        <w:t xml:space="preserve"> educational/informational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65476" w:rsidRPr="00565476">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65476" w:rsidRPr="00565476">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0811"/>
    <w:rsid w:val="002C2CD3"/>
    <w:rsid w:val="002C71C1"/>
    <w:rsid w:val="002D2192"/>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1534"/>
    <w:rsid w:val="00515946"/>
    <w:rsid w:val="0052402B"/>
    <w:rsid w:val="00524805"/>
    <w:rsid w:val="005332EA"/>
    <w:rsid w:val="005418EC"/>
    <w:rsid w:val="00545A99"/>
    <w:rsid w:val="00550872"/>
    <w:rsid w:val="00562148"/>
    <w:rsid w:val="00565476"/>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0C59"/>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C68FF"/>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2955"/>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unhideWhenUsed/>
    <w:rsid w:val="00565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A8808-384A-4026-92AA-BBA23BD5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cp:revision>
  <cp:lastPrinted>2020-03-30T12:51:00Z</cp:lastPrinted>
  <dcterms:created xsi:type="dcterms:W3CDTF">2020-03-30T12:38:00Z</dcterms:created>
  <dcterms:modified xsi:type="dcterms:W3CDTF">2020-03-31T16:26:00Z</dcterms:modified>
</cp:coreProperties>
</file>